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8D" w:rsidRPr="00697F34" w:rsidRDefault="00442F06" w:rsidP="00C228A2">
      <w:pPr>
        <w:pStyle w:val="Heading1"/>
        <w:spacing w:before="120"/>
        <w:rPr>
          <w:color w:val="00B0F0"/>
          <w:szCs w:val="52"/>
        </w:rPr>
      </w:pPr>
      <w:r w:rsidRPr="00697F34">
        <w:rPr>
          <w:color w:val="00B0F0"/>
          <w:szCs w:val="52"/>
        </w:rPr>
        <w:t xml:space="preserve">Adviser </w:t>
      </w:r>
    </w:p>
    <w:p w:rsidR="002B063A" w:rsidRPr="00697F34" w:rsidRDefault="00317F1A" w:rsidP="002B063A">
      <w:pPr>
        <w:pStyle w:val="Heading2"/>
        <w:rPr>
          <w:color w:val="00B0F0"/>
        </w:rPr>
      </w:pPr>
      <w:r w:rsidRPr="00697F34">
        <w:rPr>
          <w:color w:val="00B0F0"/>
        </w:rPr>
        <w:t>Business &amp; Integrity</w:t>
      </w:r>
      <w:r w:rsidR="00381969" w:rsidRPr="00697F34">
        <w:rPr>
          <w:color w:val="00B0F0"/>
        </w:rPr>
        <w:t xml:space="preserve"> Team</w:t>
      </w:r>
      <w:r w:rsidR="002511B7" w:rsidRPr="00697F34">
        <w:rPr>
          <w:color w:val="00B0F0"/>
        </w:rPr>
        <w:t xml:space="preserve">, Governance </w:t>
      </w:r>
      <w:r w:rsidR="00381969" w:rsidRPr="00697F34">
        <w:rPr>
          <w:color w:val="00B0F0"/>
        </w:rPr>
        <w:t>and</w:t>
      </w:r>
      <w:r w:rsidR="002511B7" w:rsidRPr="00697F34">
        <w:rPr>
          <w:color w:val="00B0F0"/>
        </w:rPr>
        <w:t xml:space="preserve"> Engagement</w:t>
      </w:r>
      <w:r w:rsidR="00381969" w:rsidRPr="00697F34">
        <w:rPr>
          <w:color w:val="00B0F0"/>
        </w:rPr>
        <w:t xml:space="preserve"> Group</w:t>
      </w:r>
    </w:p>
    <w:p w:rsidR="001E3954" w:rsidRPr="00697F34" w:rsidRDefault="001E3954" w:rsidP="001E3954">
      <w:pPr>
        <w:jc w:val="both"/>
        <w:rPr>
          <w:rFonts w:asciiTheme="minorHAnsi" w:eastAsia="Times New Roman" w:hAnsiTheme="minorHAnsi"/>
          <w:sz w:val="22"/>
          <w:szCs w:val="22"/>
        </w:rPr>
      </w:pPr>
      <w:r w:rsidRPr="00697F34">
        <w:rPr>
          <w:rFonts w:asciiTheme="minorHAnsi" w:eastAsia="Times New Roman" w:hAnsiTheme="minorHAnsi"/>
          <w:sz w:val="22"/>
          <w:szCs w:val="22"/>
        </w:rPr>
        <w:t xml:space="preserve">The Governance and Engagement Group is responsible for the provision of advice; and influencing and supporting the performance of the Ministry and overall performance of the government transport sector. </w:t>
      </w:r>
    </w:p>
    <w:p w:rsidR="001E3954" w:rsidRPr="00697F34" w:rsidRDefault="001E3954" w:rsidP="001E3954">
      <w:pPr>
        <w:spacing w:after="0"/>
        <w:jc w:val="both"/>
        <w:rPr>
          <w:rFonts w:asciiTheme="minorHAnsi" w:eastAsia="Times New Roman" w:hAnsiTheme="minorHAnsi"/>
          <w:sz w:val="22"/>
          <w:szCs w:val="22"/>
        </w:rPr>
      </w:pPr>
      <w:r w:rsidRPr="00697F34">
        <w:rPr>
          <w:rFonts w:asciiTheme="minorHAnsi" w:eastAsia="Times New Roman" w:hAnsiTheme="minorHAnsi"/>
          <w:sz w:val="22"/>
          <w:szCs w:val="22"/>
        </w:rPr>
        <w:t>The Business, Integrity and Performance team provides support and advice across the Ministry and is responsible for:</w:t>
      </w:r>
    </w:p>
    <w:p w:rsidR="001E3954" w:rsidRPr="00697F34" w:rsidRDefault="001E3954" w:rsidP="001E3954">
      <w:pPr>
        <w:numPr>
          <w:ilvl w:val="0"/>
          <w:numId w:val="24"/>
        </w:numPr>
        <w:spacing w:before="6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planning and accountability, including supporting project management and business process improvement</w:t>
      </w:r>
    </w:p>
    <w:p w:rsidR="001E3954" w:rsidRPr="00697F34" w:rsidRDefault="001E3954" w:rsidP="001E3954">
      <w:pPr>
        <w:numPr>
          <w:ilvl w:val="0"/>
          <w:numId w:val="24"/>
        </w:numPr>
        <w:spacing w:before="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risk and assurance functions, including coordinating internal audit activities and planning</w:t>
      </w:r>
    </w:p>
    <w:p w:rsidR="001E3954" w:rsidRPr="00697F34" w:rsidRDefault="001E3954" w:rsidP="001E3954">
      <w:pPr>
        <w:numPr>
          <w:ilvl w:val="0"/>
          <w:numId w:val="24"/>
        </w:numPr>
        <w:spacing w:before="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business continuity planning</w:t>
      </w:r>
    </w:p>
    <w:p w:rsidR="004C34C7" w:rsidRPr="00697F34" w:rsidRDefault="004C34C7" w:rsidP="001E3954">
      <w:pPr>
        <w:numPr>
          <w:ilvl w:val="0"/>
          <w:numId w:val="24"/>
        </w:numPr>
        <w:spacing w:before="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contract functions, including drafting contracts,</w:t>
      </w:r>
      <w:r w:rsidR="00F70E44" w:rsidRPr="00697F34">
        <w:rPr>
          <w:rFonts w:asciiTheme="minorHAnsi" w:eastAsia="Times New Roman" w:hAnsiTheme="minorHAnsi"/>
          <w:sz w:val="22"/>
          <w:szCs w:val="22"/>
        </w:rPr>
        <w:t xml:space="preserve"> </w:t>
      </w:r>
      <w:r w:rsidR="00C74799" w:rsidRPr="00697F34">
        <w:rPr>
          <w:rFonts w:asciiTheme="minorHAnsi" w:eastAsia="Times New Roman" w:hAnsiTheme="minorHAnsi"/>
          <w:sz w:val="22"/>
          <w:szCs w:val="22"/>
        </w:rPr>
        <w:t xml:space="preserve">responding to </w:t>
      </w:r>
      <w:r w:rsidRPr="00697F34">
        <w:rPr>
          <w:rFonts w:asciiTheme="minorHAnsi" w:eastAsia="Times New Roman" w:hAnsiTheme="minorHAnsi"/>
          <w:sz w:val="22"/>
          <w:szCs w:val="22"/>
        </w:rPr>
        <w:t xml:space="preserve">enquiries and providing support </w:t>
      </w:r>
      <w:r w:rsidR="00C74799" w:rsidRPr="00697F34">
        <w:rPr>
          <w:rFonts w:asciiTheme="minorHAnsi" w:eastAsia="Times New Roman" w:hAnsiTheme="minorHAnsi"/>
          <w:sz w:val="22"/>
          <w:szCs w:val="22"/>
        </w:rPr>
        <w:t>about internal business process and</w:t>
      </w:r>
      <w:r w:rsidRPr="00697F34">
        <w:rPr>
          <w:rFonts w:asciiTheme="minorHAnsi" w:eastAsia="Times New Roman" w:hAnsiTheme="minorHAnsi"/>
          <w:sz w:val="22"/>
          <w:szCs w:val="22"/>
        </w:rPr>
        <w:t xml:space="preserve"> procurement policy </w:t>
      </w:r>
      <w:r w:rsidR="00C74799" w:rsidRPr="00697F34">
        <w:rPr>
          <w:rFonts w:asciiTheme="minorHAnsi" w:eastAsia="Times New Roman" w:hAnsiTheme="minorHAnsi"/>
          <w:sz w:val="22"/>
          <w:szCs w:val="22"/>
        </w:rPr>
        <w:t>requirements</w:t>
      </w:r>
    </w:p>
    <w:p w:rsidR="001E3954" w:rsidRPr="00697F34" w:rsidRDefault="004C34C7" w:rsidP="001E3954">
      <w:pPr>
        <w:numPr>
          <w:ilvl w:val="0"/>
          <w:numId w:val="24"/>
        </w:numPr>
        <w:spacing w:before="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collaborat</w:t>
      </w:r>
      <w:r w:rsidR="006C6882" w:rsidRPr="00697F34">
        <w:rPr>
          <w:rFonts w:asciiTheme="minorHAnsi" w:eastAsia="Times New Roman" w:hAnsiTheme="minorHAnsi"/>
          <w:sz w:val="22"/>
          <w:szCs w:val="22"/>
        </w:rPr>
        <w:t>ing</w:t>
      </w:r>
      <w:r w:rsidRPr="00697F34">
        <w:rPr>
          <w:rFonts w:asciiTheme="minorHAnsi" w:eastAsia="Times New Roman" w:hAnsiTheme="minorHAnsi"/>
          <w:sz w:val="22"/>
          <w:szCs w:val="22"/>
        </w:rPr>
        <w:t xml:space="preserve"> with other Ministry business groups to collate</w:t>
      </w:r>
      <w:r w:rsidR="00F70E44" w:rsidRPr="00697F34">
        <w:rPr>
          <w:rFonts w:asciiTheme="minorHAnsi" w:eastAsia="Times New Roman" w:hAnsiTheme="minorHAnsi"/>
          <w:sz w:val="22"/>
          <w:szCs w:val="22"/>
        </w:rPr>
        <w:t xml:space="preserve"> information used to provide performance reporting to DCEs and Ministers</w:t>
      </w:r>
      <w:r w:rsidRPr="00697F34">
        <w:rPr>
          <w:rFonts w:asciiTheme="minorHAnsi" w:eastAsia="Times New Roman" w:hAnsiTheme="minorHAnsi"/>
          <w:sz w:val="22"/>
          <w:szCs w:val="22"/>
        </w:rPr>
        <w:t xml:space="preserve"> </w:t>
      </w:r>
    </w:p>
    <w:p w:rsidR="00F6391F" w:rsidRPr="00697F34" w:rsidRDefault="00F6391F" w:rsidP="00972CC4">
      <w:pPr>
        <w:numPr>
          <w:ilvl w:val="0"/>
          <w:numId w:val="24"/>
        </w:numPr>
        <w:spacing w:before="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Protective Security Requirements</w:t>
      </w:r>
    </w:p>
    <w:p w:rsidR="00F6391F" w:rsidRPr="00697F34" w:rsidRDefault="00F6391F" w:rsidP="00972CC4">
      <w:pPr>
        <w:numPr>
          <w:ilvl w:val="0"/>
          <w:numId w:val="24"/>
        </w:numPr>
        <w:spacing w:before="0" w:after="0"/>
        <w:ind w:left="714" w:hanging="357"/>
        <w:jc w:val="both"/>
        <w:rPr>
          <w:rFonts w:asciiTheme="minorHAnsi" w:eastAsia="Times New Roman" w:hAnsiTheme="minorHAnsi"/>
          <w:sz w:val="22"/>
          <w:szCs w:val="22"/>
        </w:rPr>
      </w:pPr>
      <w:r w:rsidRPr="00697F34">
        <w:rPr>
          <w:rFonts w:asciiTheme="minorHAnsi" w:eastAsia="Times New Roman" w:hAnsiTheme="minorHAnsi"/>
          <w:sz w:val="22"/>
          <w:szCs w:val="22"/>
        </w:rPr>
        <w:t>supporting the Ministry’s governance framework</w:t>
      </w:r>
    </w:p>
    <w:p w:rsidR="006E1C61" w:rsidRPr="00697F34" w:rsidRDefault="001E3954" w:rsidP="001E3954">
      <w:pPr>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The Business Integrity and Performance Adviser is </w:t>
      </w:r>
      <w:r w:rsidR="00BB0C0F" w:rsidRPr="00697F34">
        <w:rPr>
          <w:rFonts w:asciiTheme="minorHAnsi" w:eastAsia="Times New Roman" w:hAnsiTheme="minorHAnsi"/>
          <w:noProof/>
          <w:sz w:val="22"/>
          <w:szCs w:val="20"/>
          <w:lang w:val="en-NZ"/>
        </w:rPr>
        <w:t>responsible for information gathering, analysis and administration to</w:t>
      </w:r>
      <w:r w:rsidR="006E1C61" w:rsidRPr="00697F34">
        <w:rPr>
          <w:rFonts w:asciiTheme="minorHAnsi" w:eastAsia="Times New Roman" w:hAnsiTheme="minorHAnsi"/>
          <w:noProof/>
          <w:sz w:val="22"/>
          <w:szCs w:val="20"/>
          <w:lang w:val="en-NZ"/>
        </w:rPr>
        <w:t xml:space="preserve"> drive the team’s:</w:t>
      </w:r>
    </w:p>
    <w:p w:rsidR="006E1C61" w:rsidRPr="00697F34" w:rsidRDefault="00BB0C0F" w:rsidP="00697F34">
      <w:pPr>
        <w:pStyle w:val="ListParagraph"/>
        <w:numPr>
          <w:ilvl w:val="0"/>
          <w:numId w:val="30"/>
        </w:numPr>
        <w:jc w:val="both"/>
        <w:rPr>
          <w:rFonts w:asciiTheme="minorHAnsi" w:eastAsia="Times New Roman" w:hAnsiTheme="minorHAnsi"/>
          <w:sz w:val="22"/>
          <w:szCs w:val="20"/>
          <w:lang w:val="en-NZ"/>
        </w:rPr>
      </w:pPr>
      <w:r w:rsidRPr="00697F34">
        <w:rPr>
          <w:rFonts w:asciiTheme="minorHAnsi" w:eastAsia="Times New Roman" w:hAnsiTheme="minorHAnsi"/>
          <w:noProof/>
          <w:sz w:val="22"/>
          <w:szCs w:val="20"/>
          <w:lang w:val="en-NZ"/>
        </w:rPr>
        <w:t>regular reporting cycle across performance, risk and assurance</w:t>
      </w:r>
      <w:r w:rsidR="006E1C61" w:rsidRPr="00697F34">
        <w:rPr>
          <w:rFonts w:asciiTheme="minorHAnsi" w:eastAsia="Times New Roman" w:hAnsiTheme="minorHAnsi"/>
          <w:noProof/>
          <w:sz w:val="22"/>
          <w:szCs w:val="20"/>
          <w:lang w:val="en-NZ"/>
        </w:rPr>
        <w:t>,</w:t>
      </w:r>
      <w:r w:rsidRPr="00697F34">
        <w:rPr>
          <w:rFonts w:asciiTheme="minorHAnsi" w:eastAsia="Times New Roman" w:hAnsiTheme="minorHAnsi"/>
          <w:noProof/>
          <w:sz w:val="22"/>
          <w:szCs w:val="20"/>
          <w:lang w:val="en-NZ"/>
        </w:rPr>
        <w:t xml:space="preserve"> </w:t>
      </w:r>
      <w:r w:rsidR="00F6391F" w:rsidRPr="00697F34">
        <w:rPr>
          <w:rFonts w:asciiTheme="minorHAnsi" w:eastAsia="Times New Roman" w:hAnsiTheme="minorHAnsi"/>
          <w:noProof/>
          <w:sz w:val="22"/>
          <w:szCs w:val="20"/>
          <w:lang w:val="en-NZ"/>
        </w:rPr>
        <w:t>and</w:t>
      </w:r>
      <w:r w:rsidR="006E1C61" w:rsidRPr="00697F34">
        <w:rPr>
          <w:rFonts w:asciiTheme="minorHAnsi" w:eastAsia="Times New Roman" w:hAnsiTheme="minorHAnsi"/>
          <w:noProof/>
          <w:sz w:val="22"/>
          <w:szCs w:val="20"/>
          <w:lang w:val="en-NZ"/>
        </w:rPr>
        <w:t>;</w:t>
      </w:r>
    </w:p>
    <w:p w:rsidR="001E3954" w:rsidRPr="00697F34" w:rsidRDefault="00F6391F" w:rsidP="00697F34">
      <w:pPr>
        <w:pStyle w:val="ListParagraph"/>
        <w:numPr>
          <w:ilvl w:val="0"/>
          <w:numId w:val="30"/>
        </w:numPr>
        <w:jc w:val="both"/>
        <w:rPr>
          <w:rFonts w:asciiTheme="minorHAnsi" w:eastAsia="Times New Roman" w:hAnsiTheme="minorHAnsi"/>
          <w:sz w:val="22"/>
          <w:szCs w:val="20"/>
          <w:lang w:val="en-NZ"/>
        </w:rPr>
      </w:pPr>
      <w:r w:rsidRPr="00697F34">
        <w:rPr>
          <w:rFonts w:asciiTheme="minorHAnsi" w:eastAsia="Times New Roman" w:hAnsiTheme="minorHAnsi"/>
          <w:noProof/>
          <w:sz w:val="22"/>
          <w:szCs w:val="20"/>
          <w:lang w:val="en-NZ"/>
        </w:rPr>
        <w:t>provision of procurement and contract management services.</w:t>
      </w:r>
    </w:p>
    <w:p w:rsidR="001E3954" w:rsidRPr="00697F34" w:rsidRDefault="001E3954" w:rsidP="001E3954">
      <w:pPr>
        <w:pStyle w:val="Bullet"/>
        <w:numPr>
          <w:ilvl w:val="0"/>
          <w:numId w:val="0"/>
        </w:numPr>
        <w:rPr>
          <w:rStyle w:val="BullethighlightedChar"/>
          <w:rFonts w:ascii="Times New Roman" w:hAnsi="Times New Roman"/>
          <w:sz w:val="22"/>
          <w:szCs w:val="22"/>
        </w:rPr>
      </w:pPr>
      <w:r w:rsidRPr="00697F34">
        <w:rPr>
          <w:rStyle w:val="BullethighlightedChar"/>
          <w:color w:val="00B0F0"/>
          <w:sz w:val="22"/>
          <w:szCs w:val="22"/>
        </w:rPr>
        <w:t>Reporting to</w:t>
      </w:r>
      <w:r w:rsidRPr="00697F34">
        <w:rPr>
          <w:color w:val="00B0F0"/>
          <w:sz w:val="22"/>
          <w:szCs w:val="22"/>
        </w:rPr>
        <w:t>:</w:t>
      </w:r>
      <w:r w:rsidRPr="00697F34">
        <w:rPr>
          <w:sz w:val="22"/>
          <w:szCs w:val="22"/>
        </w:rPr>
        <w:t xml:space="preserve"> Manager – Business Integrity &amp; Performance </w:t>
      </w:r>
    </w:p>
    <w:p w:rsidR="001E3954" w:rsidRPr="00697F34" w:rsidRDefault="001E3954" w:rsidP="001E3954">
      <w:pPr>
        <w:pStyle w:val="Bullethighlighted"/>
        <w:numPr>
          <w:ilvl w:val="0"/>
          <w:numId w:val="0"/>
        </w:numPr>
        <w:rPr>
          <w:b w:val="0"/>
          <w:color w:val="auto"/>
          <w:sz w:val="22"/>
          <w:szCs w:val="22"/>
        </w:rPr>
      </w:pPr>
      <w:r w:rsidRPr="00697F34">
        <w:rPr>
          <w:color w:val="00B0F0"/>
          <w:sz w:val="22"/>
          <w:szCs w:val="22"/>
        </w:rPr>
        <w:t>Location:</w:t>
      </w:r>
      <w:r w:rsidRPr="00697F34">
        <w:rPr>
          <w:sz w:val="22"/>
          <w:szCs w:val="22"/>
        </w:rPr>
        <w:t xml:space="preserve"> </w:t>
      </w:r>
      <w:r w:rsidRPr="00697F34">
        <w:rPr>
          <w:b w:val="0"/>
          <w:color w:val="auto"/>
          <w:sz w:val="22"/>
          <w:szCs w:val="22"/>
        </w:rPr>
        <w:t>Wellington</w:t>
      </w:r>
    </w:p>
    <w:p w:rsidR="005E298D" w:rsidRPr="00697F34" w:rsidRDefault="005E298D" w:rsidP="005E298D">
      <w:pPr>
        <w:pStyle w:val="Heading2withoverline"/>
        <w:rPr>
          <w:color w:val="00B0F0"/>
          <w:sz w:val="26"/>
          <w:szCs w:val="26"/>
        </w:rPr>
      </w:pPr>
      <w:r w:rsidRPr="00697F34">
        <w:rPr>
          <w:rFonts w:asciiTheme="minorHAnsi" w:hAnsiTheme="minorHAnsi"/>
          <w:color w:val="00B0F0"/>
          <w:sz w:val="26"/>
          <w:szCs w:val="26"/>
        </w:rPr>
        <w:t>Enabling New Zealanders to flourish</w:t>
      </w:r>
      <w:r w:rsidRPr="00697F34">
        <w:rPr>
          <w:rFonts w:ascii="Arial" w:hAnsi="Arial"/>
          <w:color w:val="00B0F0"/>
          <w:sz w:val="26"/>
          <w:szCs w:val="26"/>
        </w:rPr>
        <w:t xml:space="preserve"> </w:t>
      </w:r>
      <w:r w:rsidR="00965942" w:rsidRPr="00697F34">
        <w:rPr>
          <w:color w:val="00B0F0"/>
          <w:sz w:val="26"/>
          <w:szCs w:val="26"/>
        </w:rPr>
        <w:t xml:space="preserve">– our </w:t>
      </w:r>
      <w:r w:rsidR="00F67471" w:rsidRPr="00697F34">
        <w:rPr>
          <w:color w:val="00B0F0"/>
          <w:sz w:val="26"/>
          <w:szCs w:val="26"/>
        </w:rPr>
        <w:t>purpose</w:t>
      </w:r>
    </w:p>
    <w:p w:rsidR="00634FD9" w:rsidRPr="00697F34" w:rsidRDefault="00634FD9" w:rsidP="00F67471">
      <w:pPr>
        <w:jc w:val="both"/>
        <w:rPr>
          <w:rFonts w:asciiTheme="minorHAnsi" w:hAnsiTheme="minorHAnsi"/>
          <w:sz w:val="22"/>
          <w:szCs w:val="22"/>
        </w:rPr>
      </w:pPr>
      <w:r w:rsidRPr="00697F34">
        <w:rPr>
          <w:rFonts w:asciiTheme="minorHAnsi" w:hAnsiTheme="minorHAnsi"/>
          <w:sz w:val="22"/>
          <w:szCs w:val="22"/>
        </w:rPr>
        <w:t xml:space="preserve">Our purpose statement goes beyond describing what our organisation does. </w:t>
      </w:r>
      <w:r w:rsidR="00EB59F7" w:rsidRPr="00697F34">
        <w:rPr>
          <w:rFonts w:asciiTheme="minorHAnsi" w:hAnsiTheme="minorHAnsi"/>
          <w:sz w:val="22"/>
          <w:szCs w:val="22"/>
        </w:rPr>
        <w:t>I</w:t>
      </w:r>
      <w:r w:rsidRPr="00697F34">
        <w:rPr>
          <w:rFonts w:asciiTheme="minorHAnsi" w:hAnsiTheme="minorHAnsi"/>
          <w:sz w:val="22"/>
          <w:szCs w:val="22"/>
        </w:rPr>
        <w:t>t succinctly and powerfully captures the value that we will deliver to New Zealanders.</w:t>
      </w:r>
    </w:p>
    <w:p w:rsidR="00634FD9" w:rsidRPr="00697F34" w:rsidRDefault="00634FD9" w:rsidP="00634FD9">
      <w:pPr>
        <w:pStyle w:val="Default"/>
        <w:rPr>
          <w:rFonts w:asciiTheme="minorHAnsi" w:hAnsiTheme="minorHAnsi"/>
          <w:sz w:val="22"/>
          <w:szCs w:val="22"/>
        </w:rPr>
      </w:pPr>
      <w:r w:rsidRPr="00697F34">
        <w:rPr>
          <w:rFonts w:asciiTheme="minorHAnsi" w:hAnsiTheme="minorHAnsi"/>
          <w:b/>
          <w:bCs/>
          <w:sz w:val="22"/>
          <w:szCs w:val="22"/>
        </w:rPr>
        <w:t xml:space="preserve">Flourish: </w:t>
      </w:r>
      <w:r w:rsidRPr="00697F34">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697F34" w:rsidRDefault="00634FD9" w:rsidP="00634FD9">
      <w:pPr>
        <w:pStyle w:val="Default"/>
        <w:spacing w:before="120"/>
        <w:rPr>
          <w:rFonts w:asciiTheme="minorHAnsi" w:hAnsiTheme="minorHAnsi"/>
          <w:sz w:val="22"/>
          <w:szCs w:val="22"/>
        </w:rPr>
      </w:pPr>
      <w:r w:rsidRPr="00697F34">
        <w:rPr>
          <w:rFonts w:asciiTheme="minorHAnsi" w:hAnsiTheme="minorHAnsi"/>
          <w:b/>
          <w:bCs/>
          <w:sz w:val="22"/>
          <w:szCs w:val="22"/>
        </w:rPr>
        <w:t>New Zealanders:</w:t>
      </w:r>
      <w:r w:rsidRPr="00697F34">
        <w:rPr>
          <w:rFonts w:asciiTheme="minorHAnsi" w:hAnsiTheme="minorHAnsi"/>
          <w:sz w:val="22"/>
          <w:szCs w:val="22"/>
        </w:rPr>
        <w:t xml:space="preserve"> New Zealanders are central to what we do. </w:t>
      </w:r>
      <w:r w:rsidR="00523A28" w:rsidRPr="00697F34">
        <w:rPr>
          <w:rFonts w:asciiTheme="minorHAnsi" w:hAnsiTheme="minorHAnsi"/>
          <w:sz w:val="22"/>
          <w:szCs w:val="22"/>
        </w:rPr>
        <w:t xml:space="preserve">This </w:t>
      </w:r>
      <w:r w:rsidRPr="00697F34">
        <w:rPr>
          <w:rFonts w:asciiTheme="minorHAnsi" w:hAnsiTheme="minorHAnsi"/>
          <w:sz w:val="22"/>
          <w:szCs w:val="22"/>
        </w:rPr>
        <w:t xml:space="preserve">includes New Zealand </w:t>
      </w:r>
      <w:proofErr w:type="spellStart"/>
      <w:r w:rsidRPr="00697F34">
        <w:rPr>
          <w:rFonts w:asciiTheme="minorHAnsi" w:hAnsiTheme="minorHAnsi"/>
          <w:sz w:val="22"/>
          <w:szCs w:val="22"/>
        </w:rPr>
        <w:t>Inc</w:t>
      </w:r>
      <w:proofErr w:type="spellEnd"/>
      <w:r w:rsidRPr="00697F34">
        <w:rPr>
          <w:rFonts w:asciiTheme="minorHAnsi" w:hAnsiTheme="minorHAnsi"/>
          <w:sz w:val="22"/>
          <w:szCs w:val="22"/>
        </w:rPr>
        <w:t xml:space="preserve">, the business sector, and our international connections, but at the heart of all of it is people. </w:t>
      </w:r>
    </w:p>
    <w:p w:rsidR="00634FD9" w:rsidRPr="00697F34" w:rsidRDefault="00634FD9" w:rsidP="00634FD9">
      <w:pPr>
        <w:jc w:val="both"/>
        <w:rPr>
          <w:rFonts w:asciiTheme="minorHAnsi" w:hAnsiTheme="minorHAnsi"/>
          <w:sz w:val="22"/>
          <w:szCs w:val="22"/>
        </w:rPr>
      </w:pPr>
      <w:r w:rsidRPr="00697F34">
        <w:rPr>
          <w:rFonts w:asciiTheme="minorHAnsi" w:hAnsiTheme="minorHAnsi"/>
          <w:b/>
          <w:bCs/>
          <w:sz w:val="22"/>
          <w:szCs w:val="22"/>
        </w:rPr>
        <w:t xml:space="preserve">Enabling: </w:t>
      </w:r>
      <w:r w:rsidRPr="00697F34">
        <w:rPr>
          <w:rFonts w:asciiTheme="minorHAnsi" w:hAnsiTheme="minorHAnsi"/>
          <w:sz w:val="22"/>
          <w:szCs w:val="22"/>
        </w:rPr>
        <w:t xml:space="preserve">We are here to help create the transport ecosystem that will enable society and businesses to </w:t>
      </w:r>
      <w:proofErr w:type="gramStart"/>
      <w:r w:rsidRPr="00697F34">
        <w:rPr>
          <w:rFonts w:asciiTheme="minorHAnsi" w:hAnsiTheme="minorHAnsi"/>
          <w:sz w:val="22"/>
          <w:szCs w:val="22"/>
        </w:rPr>
        <w:t>flourish</w:t>
      </w:r>
      <w:proofErr w:type="gramEnd"/>
      <w:r w:rsidRPr="00697F34">
        <w:rPr>
          <w:rFonts w:asciiTheme="minorHAnsi" w:hAnsiTheme="minorHAnsi"/>
          <w:sz w:val="22"/>
          <w:szCs w:val="22"/>
        </w:rPr>
        <w:t>, and grow.</w:t>
      </w:r>
    </w:p>
    <w:p w:rsidR="00EC4723" w:rsidRPr="00697F34" w:rsidRDefault="00EC4723" w:rsidP="001E640D">
      <w:pPr>
        <w:pStyle w:val="Tableheading"/>
        <w:keepNext w:val="0"/>
        <w:ind w:left="-108"/>
        <w:rPr>
          <w:color w:val="00B0F0"/>
        </w:rPr>
      </w:pPr>
      <w:r w:rsidRPr="00697F34">
        <w:rPr>
          <w:color w:val="00B0F0"/>
        </w:rPr>
        <w:t>How we do things – our values</w:t>
      </w:r>
    </w:p>
    <w:tbl>
      <w:tblPr>
        <w:tblStyle w:val="TableGrid"/>
        <w:tblW w:w="0" w:type="auto"/>
        <w:tblInd w:w="137" w:type="dxa"/>
        <w:tblLook w:val="04A0" w:firstRow="1" w:lastRow="0" w:firstColumn="1" w:lastColumn="0" w:noHBand="0" w:noVBand="1"/>
      </w:tblPr>
      <w:tblGrid>
        <w:gridCol w:w="2410"/>
        <w:gridCol w:w="7082"/>
      </w:tblGrid>
      <w:tr w:rsidR="006C6882" w:rsidRPr="00697F34" w:rsidTr="00697F34">
        <w:tc>
          <w:tcPr>
            <w:tcW w:w="2410" w:type="dxa"/>
            <w:shd w:val="clear" w:color="auto" w:fill="3BBBE3"/>
            <w:vAlign w:val="center"/>
          </w:tcPr>
          <w:p w:rsidR="006C6882" w:rsidRPr="00697F34" w:rsidRDefault="006C6882" w:rsidP="00697F34">
            <w:pPr>
              <w:pStyle w:val="Tableheading"/>
              <w:keepNext w:val="0"/>
              <w:spacing w:before="120" w:after="120" w:line="240" w:lineRule="auto"/>
              <w:ind w:left="142"/>
              <w:rPr>
                <w:rFonts w:asciiTheme="minorHAnsi" w:eastAsia="Times New Roman" w:hAnsiTheme="minorHAnsi"/>
                <w:noProof/>
                <w:sz w:val="28"/>
                <w:szCs w:val="28"/>
                <w:lang w:val="en-NZ"/>
              </w:rPr>
            </w:pPr>
            <w:r w:rsidRPr="00697F34">
              <w:rPr>
                <w:rFonts w:asciiTheme="minorHAnsi" w:eastAsia="Times New Roman" w:hAnsiTheme="minorHAnsi"/>
                <w:noProof/>
                <w:sz w:val="28"/>
                <w:szCs w:val="28"/>
                <w:lang w:val="en-NZ"/>
              </w:rPr>
              <w:t>INVESTED</w:t>
            </w:r>
          </w:p>
        </w:tc>
        <w:tc>
          <w:tcPr>
            <w:tcW w:w="7082" w:type="dxa"/>
            <w:vAlign w:val="center"/>
          </w:tcPr>
          <w:p w:rsidR="006C6882" w:rsidRPr="00697F34" w:rsidRDefault="006C6882" w:rsidP="00697F34">
            <w:pPr>
              <w:pStyle w:val="Tableheading"/>
              <w:spacing w:before="120" w:after="120" w:line="240" w:lineRule="auto"/>
              <w:ind w:left="142"/>
              <w:rPr>
                <w:sz w:val="22"/>
                <w:szCs w:val="22"/>
              </w:rPr>
            </w:pPr>
            <w:r w:rsidRPr="00697F34">
              <w:rPr>
                <w:rFonts w:asciiTheme="minorHAnsi" w:eastAsia="Times New Roman" w:hAnsiTheme="minorHAnsi"/>
                <w:noProof/>
                <w:color w:val="auto"/>
                <w:sz w:val="22"/>
                <w:szCs w:val="20"/>
                <w:lang w:val="en-NZ"/>
              </w:rPr>
              <w:t>We are committed and responsible</w:t>
            </w:r>
          </w:p>
        </w:tc>
      </w:tr>
      <w:tr w:rsidR="00972CC4" w:rsidRPr="00697F34" w:rsidTr="00697F34">
        <w:tc>
          <w:tcPr>
            <w:tcW w:w="2410" w:type="dxa"/>
            <w:shd w:val="clear" w:color="auto" w:fill="3BBBE3"/>
            <w:vAlign w:val="center"/>
          </w:tcPr>
          <w:p w:rsidR="00972CC4" w:rsidRPr="00697F34" w:rsidRDefault="00972CC4" w:rsidP="00697F34">
            <w:pPr>
              <w:pStyle w:val="Tableheading"/>
              <w:keepNext w:val="0"/>
              <w:spacing w:before="120" w:after="120"/>
              <w:ind w:left="142"/>
              <w:rPr>
                <w:rFonts w:asciiTheme="minorHAnsi" w:eastAsia="Times New Roman" w:hAnsiTheme="minorHAnsi"/>
                <w:noProof/>
                <w:sz w:val="28"/>
                <w:szCs w:val="28"/>
                <w:lang w:val="en-NZ"/>
              </w:rPr>
            </w:pPr>
            <w:r w:rsidRPr="00697F34">
              <w:rPr>
                <w:rFonts w:asciiTheme="minorHAnsi" w:eastAsia="Times New Roman" w:hAnsiTheme="minorHAnsi"/>
                <w:noProof/>
                <w:sz w:val="28"/>
                <w:szCs w:val="28"/>
                <w:lang w:val="en-NZ"/>
              </w:rPr>
              <w:t>BOLD</w:t>
            </w:r>
          </w:p>
        </w:tc>
        <w:tc>
          <w:tcPr>
            <w:tcW w:w="7082" w:type="dxa"/>
            <w:vAlign w:val="center"/>
          </w:tcPr>
          <w:p w:rsidR="00972CC4" w:rsidRPr="00697F34" w:rsidRDefault="00972CC4" w:rsidP="00697F34">
            <w:pPr>
              <w:pStyle w:val="Tableheading"/>
              <w:spacing w:before="120" w:after="120" w:line="240" w:lineRule="auto"/>
              <w:ind w:left="142"/>
              <w:rPr>
                <w:rFonts w:asciiTheme="minorHAnsi" w:eastAsia="Times New Roman" w:hAnsiTheme="minorHAnsi"/>
                <w:noProof/>
                <w:color w:val="auto"/>
                <w:sz w:val="22"/>
                <w:szCs w:val="20"/>
                <w:lang w:val="en-NZ"/>
              </w:rPr>
            </w:pPr>
            <w:r w:rsidRPr="00697F34">
              <w:rPr>
                <w:rFonts w:asciiTheme="minorHAnsi" w:eastAsia="Times New Roman" w:hAnsiTheme="minorHAnsi"/>
                <w:noProof/>
                <w:color w:val="auto"/>
                <w:sz w:val="22"/>
                <w:szCs w:val="20"/>
                <w:lang w:val="en-NZ"/>
              </w:rPr>
              <w:t xml:space="preserve">We are courageous, shaping our place in the world </w:t>
            </w:r>
          </w:p>
        </w:tc>
      </w:tr>
      <w:tr w:rsidR="00972CC4" w:rsidRPr="00697F34" w:rsidTr="00697F34">
        <w:tc>
          <w:tcPr>
            <w:tcW w:w="2410" w:type="dxa"/>
            <w:shd w:val="clear" w:color="auto" w:fill="3BBBE3"/>
            <w:vAlign w:val="center"/>
          </w:tcPr>
          <w:p w:rsidR="00972CC4" w:rsidRPr="00697F34" w:rsidRDefault="00972CC4" w:rsidP="00697F34">
            <w:pPr>
              <w:pStyle w:val="Tableheading"/>
              <w:keepNext w:val="0"/>
              <w:spacing w:before="120" w:after="120"/>
              <w:ind w:left="142"/>
              <w:rPr>
                <w:rFonts w:asciiTheme="minorHAnsi" w:eastAsia="Times New Roman" w:hAnsiTheme="minorHAnsi"/>
                <w:noProof/>
                <w:sz w:val="28"/>
                <w:szCs w:val="28"/>
                <w:lang w:val="en-NZ"/>
              </w:rPr>
            </w:pPr>
            <w:r w:rsidRPr="00697F34">
              <w:rPr>
                <w:rFonts w:asciiTheme="minorHAnsi" w:eastAsia="Times New Roman" w:hAnsiTheme="minorHAnsi"/>
                <w:noProof/>
                <w:sz w:val="28"/>
                <w:szCs w:val="28"/>
                <w:lang w:val="en-NZ"/>
              </w:rPr>
              <w:t>COLLABORATIVE</w:t>
            </w:r>
          </w:p>
        </w:tc>
        <w:tc>
          <w:tcPr>
            <w:tcW w:w="7082" w:type="dxa"/>
            <w:vAlign w:val="center"/>
          </w:tcPr>
          <w:p w:rsidR="00972CC4" w:rsidRPr="00697F34" w:rsidRDefault="00972CC4" w:rsidP="00697F34">
            <w:pPr>
              <w:pStyle w:val="Tableheading"/>
              <w:spacing w:before="120" w:after="120" w:line="240" w:lineRule="auto"/>
              <w:ind w:left="142"/>
              <w:rPr>
                <w:rFonts w:asciiTheme="minorHAnsi" w:eastAsia="Times New Roman" w:hAnsiTheme="minorHAnsi"/>
                <w:noProof/>
                <w:color w:val="auto"/>
                <w:sz w:val="22"/>
                <w:szCs w:val="20"/>
                <w:lang w:val="en-NZ"/>
              </w:rPr>
            </w:pPr>
            <w:r w:rsidRPr="00697F34">
              <w:rPr>
                <w:rFonts w:asciiTheme="minorHAnsi" w:eastAsia="Times New Roman" w:hAnsiTheme="minorHAnsi"/>
                <w:noProof/>
                <w:color w:val="auto"/>
                <w:sz w:val="22"/>
                <w:szCs w:val="20"/>
                <w:lang w:val="en-NZ"/>
              </w:rPr>
              <w:t>We are connected and journey with others</w:t>
            </w:r>
          </w:p>
        </w:tc>
      </w:tr>
    </w:tbl>
    <w:tbl>
      <w:tblPr>
        <w:tblStyle w:val="Blanktable"/>
        <w:tblW w:w="4992" w:type="pct"/>
        <w:tblInd w:w="7" w:type="dxa"/>
        <w:tblLook w:val="04A0" w:firstRow="1" w:lastRow="0" w:firstColumn="1" w:lastColumn="0" w:noHBand="0" w:noVBand="1"/>
      </w:tblPr>
      <w:tblGrid>
        <w:gridCol w:w="2337"/>
        <w:gridCol w:w="7287"/>
      </w:tblGrid>
      <w:tr w:rsidR="00D921B1" w:rsidRPr="00697F34" w:rsidTr="00697F34">
        <w:trPr>
          <w:cantSplit/>
        </w:trPr>
        <w:tc>
          <w:tcPr>
            <w:tcW w:w="5000" w:type="pct"/>
            <w:gridSpan w:val="2"/>
            <w:shd w:val="clear" w:color="auto" w:fill="auto"/>
          </w:tcPr>
          <w:p w:rsidR="00D921B1" w:rsidRPr="00697F34" w:rsidRDefault="00BD0C1F" w:rsidP="001E640D">
            <w:pPr>
              <w:pStyle w:val="Tableheading"/>
              <w:ind w:left="-108"/>
              <w:rPr>
                <w:color w:val="00B0F0"/>
              </w:rPr>
            </w:pPr>
            <w:r w:rsidRPr="00697F34">
              <w:rPr>
                <w:color w:val="00B0F0"/>
              </w:rPr>
              <w:lastRenderedPageBreak/>
              <w:t>What you will do to contribute - k</w:t>
            </w:r>
            <w:r w:rsidR="00D921B1" w:rsidRPr="00697F34">
              <w:rPr>
                <w:color w:val="00B0F0"/>
              </w:rPr>
              <w:t xml:space="preserve">ey </w:t>
            </w:r>
            <w:r w:rsidRPr="00697F34">
              <w:rPr>
                <w:color w:val="00B0F0"/>
              </w:rPr>
              <w:t>r</w:t>
            </w:r>
            <w:r w:rsidR="00D921B1" w:rsidRPr="00697F34">
              <w:rPr>
                <w:color w:val="00B0F0"/>
              </w:rPr>
              <w:t>esponsibilities</w:t>
            </w:r>
          </w:p>
        </w:tc>
      </w:tr>
      <w:tr w:rsidR="00D921B1" w:rsidRPr="00697F34" w:rsidTr="00697F34">
        <w:tc>
          <w:tcPr>
            <w:tcW w:w="5000" w:type="pct"/>
            <w:gridSpan w:val="2"/>
          </w:tcPr>
          <w:p w:rsidR="00A35EF0" w:rsidRPr="00697F34" w:rsidRDefault="00A35EF0" w:rsidP="001E640D">
            <w:pPr>
              <w:tabs>
                <w:tab w:val="num" w:pos="360"/>
              </w:tabs>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The Business Integrity and Performance Adviser has responsibility for providing information and advice to ensure the Business Integrity and Performance team delivers on their key objectives and deliver on the Ministry’s strategies. </w:t>
            </w:r>
          </w:p>
          <w:p w:rsidR="003242B5" w:rsidRPr="00697F34" w:rsidRDefault="003242B5" w:rsidP="001E640D">
            <w:pPr>
              <w:tabs>
                <w:tab w:val="num" w:pos="360"/>
              </w:tabs>
              <w:contextualSpacing/>
              <w:jc w:val="both"/>
              <w:rPr>
                <w:rFonts w:asciiTheme="minorHAnsi" w:eastAsia="Times New Roman" w:hAnsiTheme="minorHAnsi"/>
                <w:noProof/>
                <w:sz w:val="22"/>
                <w:szCs w:val="20"/>
                <w:lang w:val="en-NZ"/>
              </w:rPr>
            </w:pPr>
          </w:p>
          <w:p w:rsidR="00A35EF0" w:rsidRPr="00697F34" w:rsidRDefault="00A35EF0" w:rsidP="003242B5">
            <w:pPr>
              <w:tabs>
                <w:tab w:val="num" w:pos="360"/>
              </w:tabs>
              <w:ind w:left="360"/>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This role is </w:t>
            </w:r>
            <w:r w:rsidR="008A0E22" w:rsidRPr="00697F34">
              <w:rPr>
                <w:rFonts w:asciiTheme="minorHAnsi" w:eastAsia="Times New Roman" w:hAnsiTheme="minorHAnsi"/>
                <w:noProof/>
                <w:sz w:val="22"/>
                <w:szCs w:val="20"/>
                <w:lang w:val="en-NZ"/>
              </w:rPr>
              <w:t xml:space="preserve">primarily </w:t>
            </w:r>
            <w:r w:rsidR="001E640D" w:rsidRPr="00697F34">
              <w:rPr>
                <w:rFonts w:asciiTheme="minorHAnsi" w:eastAsia="Times New Roman" w:hAnsiTheme="minorHAnsi"/>
                <w:noProof/>
                <w:sz w:val="22"/>
                <w:szCs w:val="20"/>
                <w:lang w:val="en-NZ"/>
              </w:rPr>
              <w:t>responsible for</w:t>
            </w:r>
            <w:r w:rsidR="00D6381A" w:rsidRPr="00697F34">
              <w:rPr>
                <w:rFonts w:asciiTheme="minorHAnsi" w:eastAsia="Times New Roman" w:hAnsiTheme="minorHAnsi"/>
                <w:noProof/>
                <w:sz w:val="22"/>
                <w:szCs w:val="20"/>
                <w:lang w:val="en-NZ"/>
              </w:rPr>
              <w:t xml:space="preserve"> supporting the team’s work to deliver a high-performing organisation through</w:t>
            </w:r>
            <w:r w:rsidR="001E640D" w:rsidRPr="00697F34">
              <w:rPr>
                <w:rFonts w:asciiTheme="minorHAnsi" w:eastAsia="Times New Roman" w:hAnsiTheme="minorHAnsi"/>
                <w:noProof/>
                <w:sz w:val="22"/>
                <w:szCs w:val="20"/>
                <w:lang w:val="en-NZ"/>
              </w:rPr>
              <w:t>:</w:t>
            </w:r>
            <w:r w:rsidRPr="00697F34">
              <w:rPr>
                <w:rFonts w:asciiTheme="minorHAnsi" w:eastAsia="Times New Roman" w:hAnsiTheme="minorHAnsi"/>
                <w:noProof/>
                <w:sz w:val="22"/>
                <w:szCs w:val="20"/>
                <w:lang w:val="en-NZ"/>
              </w:rPr>
              <w:t xml:space="preserve"> </w:t>
            </w:r>
          </w:p>
          <w:p w:rsidR="008A0E22" w:rsidRPr="00697F34" w:rsidRDefault="008A0E22" w:rsidP="006E1C61">
            <w:pPr>
              <w:pStyle w:val="ListParagraph"/>
              <w:numPr>
                <w:ilvl w:val="0"/>
                <w:numId w:val="25"/>
              </w:numPr>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Gathering </w:t>
            </w:r>
            <w:r w:rsidR="006E1C61" w:rsidRPr="00697F34">
              <w:rPr>
                <w:rFonts w:asciiTheme="minorHAnsi" w:eastAsia="Times New Roman" w:hAnsiTheme="minorHAnsi"/>
                <w:noProof/>
                <w:sz w:val="22"/>
                <w:szCs w:val="20"/>
                <w:lang w:val="en-NZ"/>
              </w:rPr>
              <w:t xml:space="preserve">and analysing </w:t>
            </w:r>
            <w:r w:rsidRPr="00697F34">
              <w:rPr>
                <w:rFonts w:asciiTheme="minorHAnsi" w:eastAsia="Times New Roman" w:hAnsiTheme="minorHAnsi"/>
                <w:noProof/>
                <w:sz w:val="22"/>
                <w:szCs w:val="20"/>
                <w:lang w:val="en-NZ"/>
              </w:rPr>
              <w:t xml:space="preserve">high quality information from Ministry leaders and staff </w:t>
            </w:r>
            <w:r w:rsidR="006E1C61" w:rsidRPr="00697F34">
              <w:rPr>
                <w:rFonts w:asciiTheme="minorHAnsi" w:eastAsia="Times New Roman" w:hAnsiTheme="minorHAnsi"/>
                <w:noProof/>
                <w:sz w:val="22"/>
                <w:szCs w:val="20"/>
                <w:lang w:val="en-NZ"/>
              </w:rPr>
              <w:t xml:space="preserve">to </w:t>
            </w:r>
            <w:r w:rsidR="00D6381A" w:rsidRPr="00697F34">
              <w:rPr>
                <w:rFonts w:asciiTheme="minorHAnsi" w:eastAsia="Times New Roman" w:hAnsiTheme="minorHAnsi"/>
                <w:noProof/>
                <w:sz w:val="22"/>
                <w:szCs w:val="20"/>
                <w:lang w:val="en-NZ"/>
              </w:rPr>
              <w:t>drive</w:t>
            </w:r>
            <w:r w:rsidRPr="00697F34">
              <w:rPr>
                <w:rFonts w:asciiTheme="minorHAnsi" w:eastAsia="Times New Roman" w:hAnsiTheme="minorHAnsi"/>
                <w:noProof/>
                <w:sz w:val="22"/>
                <w:szCs w:val="20"/>
                <w:lang w:val="en-NZ"/>
              </w:rPr>
              <w:t xml:space="preserve"> the team’s regular reporting</w:t>
            </w:r>
            <w:r w:rsidR="006E1C61" w:rsidRPr="00697F34">
              <w:rPr>
                <w:rFonts w:asciiTheme="minorHAnsi" w:eastAsia="Times New Roman" w:hAnsiTheme="minorHAnsi"/>
                <w:noProof/>
                <w:sz w:val="22"/>
                <w:szCs w:val="20"/>
                <w:lang w:val="en-NZ"/>
              </w:rPr>
              <w:t xml:space="preserve"> cycles for performance, risk and assurance activities</w:t>
            </w:r>
          </w:p>
          <w:p w:rsidR="00D6381A" w:rsidRPr="00697F34" w:rsidRDefault="00D6381A" w:rsidP="00D6381A">
            <w:pPr>
              <w:pStyle w:val="ListParagraph"/>
              <w:numPr>
                <w:ilvl w:val="0"/>
                <w:numId w:val="25"/>
              </w:numPr>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Supporting Ministry leaders and staff through the provision of procurement and contract management services</w:t>
            </w:r>
          </w:p>
          <w:p w:rsidR="00D6381A" w:rsidRPr="00697F34" w:rsidRDefault="00D6381A" w:rsidP="00D6381A">
            <w:pPr>
              <w:pStyle w:val="ListParagraph"/>
              <w:numPr>
                <w:ilvl w:val="0"/>
                <w:numId w:val="25"/>
              </w:numPr>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Providing administrative support for reporting, contracts and other team activities such as the development and production of corporate accountability documents and follow-up on outstanding review actions </w:t>
            </w:r>
          </w:p>
          <w:p w:rsidR="00D921B1" w:rsidRPr="00697F34" w:rsidRDefault="00D6381A">
            <w:pPr>
              <w:pStyle w:val="ListParagraph"/>
              <w:numPr>
                <w:ilvl w:val="0"/>
                <w:numId w:val="25"/>
              </w:numPr>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providing </w:t>
            </w:r>
            <w:r w:rsidR="00E43DA8" w:rsidRPr="00697F34">
              <w:rPr>
                <w:rFonts w:asciiTheme="minorHAnsi" w:eastAsia="Times New Roman" w:hAnsiTheme="minorHAnsi"/>
                <w:noProof/>
                <w:sz w:val="22"/>
                <w:szCs w:val="20"/>
                <w:lang w:val="en-NZ"/>
              </w:rPr>
              <w:t>training and contribute to business improvement</w:t>
            </w:r>
            <w:r w:rsidRPr="00697F34">
              <w:rPr>
                <w:rFonts w:asciiTheme="minorHAnsi" w:eastAsia="Times New Roman" w:hAnsiTheme="minorHAnsi"/>
                <w:noProof/>
                <w:sz w:val="22"/>
                <w:szCs w:val="20"/>
                <w:lang w:val="en-NZ"/>
              </w:rPr>
              <w:t>,</w:t>
            </w:r>
            <w:r w:rsidR="00A35EF0" w:rsidRPr="00697F34">
              <w:rPr>
                <w:rFonts w:asciiTheme="minorHAnsi" w:eastAsia="Times New Roman" w:hAnsiTheme="minorHAnsi"/>
                <w:noProof/>
                <w:sz w:val="22"/>
                <w:szCs w:val="20"/>
                <w:lang w:val="en-NZ"/>
              </w:rPr>
              <w:t xml:space="preserve"> </w:t>
            </w:r>
            <w:r w:rsidRPr="00697F34">
              <w:rPr>
                <w:rFonts w:asciiTheme="minorHAnsi" w:eastAsia="Times New Roman" w:hAnsiTheme="minorHAnsi"/>
                <w:noProof/>
                <w:sz w:val="22"/>
                <w:szCs w:val="20"/>
                <w:lang w:val="en-NZ"/>
              </w:rPr>
              <w:t xml:space="preserve">in conjunction with senior advisors, </w:t>
            </w:r>
            <w:r w:rsidR="00A35EF0" w:rsidRPr="00697F34">
              <w:rPr>
                <w:rFonts w:asciiTheme="minorHAnsi" w:eastAsia="Times New Roman" w:hAnsiTheme="minorHAnsi"/>
                <w:noProof/>
                <w:sz w:val="22"/>
                <w:szCs w:val="20"/>
                <w:lang w:val="en-NZ"/>
              </w:rPr>
              <w:t xml:space="preserve">to Ministry staff on the </w:t>
            </w:r>
            <w:r w:rsidRPr="00697F34">
              <w:rPr>
                <w:rFonts w:asciiTheme="minorHAnsi" w:eastAsia="Times New Roman" w:hAnsiTheme="minorHAnsi"/>
                <w:noProof/>
                <w:sz w:val="22"/>
                <w:szCs w:val="20"/>
                <w:lang w:val="en-NZ"/>
              </w:rPr>
              <w:t>systems and policies</w:t>
            </w:r>
            <w:r w:rsidR="00F6391F" w:rsidRPr="00697F34">
              <w:rPr>
                <w:rFonts w:asciiTheme="minorHAnsi" w:eastAsia="Times New Roman" w:hAnsiTheme="minorHAnsi"/>
                <w:noProof/>
                <w:sz w:val="22"/>
                <w:szCs w:val="20"/>
                <w:lang w:val="en-NZ"/>
              </w:rPr>
              <w:t xml:space="preserve"> owne</w:t>
            </w:r>
            <w:r w:rsidR="00FA67F4" w:rsidRPr="00697F34">
              <w:rPr>
                <w:rFonts w:asciiTheme="minorHAnsi" w:eastAsia="Times New Roman" w:hAnsiTheme="minorHAnsi"/>
                <w:noProof/>
                <w:sz w:val="22"/>
                <w:szCs w:val="20"/>
                <w:lang w:val="en-NZ"/>
              </w:rPr>
              <w:t>d and supported by the team</w:t>
            </w:r>
            <w:r w:rsidRPr="00697F34">
              <w:rPr>
                <w:rFonts w:asciiTheme="minorHAnsi" w:eastAsia="Times New Roman" w:hAnsiTheme="minorHAnsi"/>
                <w:noProof/>
                <w:sz w:val="22"/>
                <w:szCs w:val="20"/>
                <w:lang w:val="en-NZ"/>
              </w:rPr>
              <w:t>.</w:t>
            </w:r>
          </w:p>
        </w:tc>
      </w:tr>
      <w:tr w:rsidR="004C06B0" w:rsidRPr="00697F34" w:rsidTr="00697F34">
        <w:trPr>
          <w:cantSplit/>
        </w:trPr>
        <w:tc>
          <w:tcPr>
            <w:tcW w:w="5000" w:type="pct"/>
            <w:gridSpan w:val="2"/>
            <w:shd w:val="clear" w:color="auto" w:fill="auto"/>
          </w:tcPr>
          <w:p w:rsidR="004C06B0" w:rsidRPr="00697F34" w:rsidRDefault="0016618A" w:rsidP="001E640D">
            <w:pPr>
              <w:pStyle w:val="Tableheading"/>
              <w:ind w:left="-108"/>
              <w:rPr>
                <w:color w:val="00B0F0"/>
              </w:rPr>
            </w:pPr>
            <w:r w:rsidRPr="00697F34">
              <w:rPr>
                <w:color w:val="00B0F0"/>
              </w:rPr>
              <w:t xml:space="preserve">Your </w:t>
            </w:r>
            <w:r w:rsidR="004C06B0" w:rsidRPr="00697F34">
              <w:rPr>
                <w:color w:val="00B0F0"/>
              </w:rPr>
              <w:t>Health</w:t>
            </w:r>
            <w:r w:rsidR="006F4B43" w:rsidRPr="00697F34">
              <w:rPr>
                <w:color w:val="00B0F0"/>
              </w:rPr>
              <w:t xml:space="preserve">, </w:t>
            </w:r>
            <w:r w:rsidR="004C06B0" w:rsidRPr="00697F34">
              <w:rPr>
                <w:color w:val="00B0F0"/>
              </w:rPr>
              <w:t>Safety</w:t>
            </w:r>
            <w:r w:rsidR="006F4B43" w:rsidRPr="00697F34">
              <w:rPr>
                <w:color w:val="00B0F0"/>
              </w:rPr>
              <w:t xml:space="preserve"> and Wellbeing </w:t>
            </w:r>
          </w:p>
        </w:tc>
      </w:tr>
      <w:tr w:rsidR="00D921B1" w:rsidRPr="00697F34" w:rsidTr="00697F34">
        <w:tc>
          <w:tcPr>
            <w:tcW w:w="5000" w:type="pct"/>
            <w:gridSpan w:val="2"/>
          </w:tcPr>
          <w:p w:rsidR="006F4B43" w:rsidRPr="00697F34" w:rsidRDefault="006F4B43" w:rsidP="001E640D">
            <w:pPr>
              <w:tabs>
                <w:tab w:val="num" w:pos="360"/>
              </w:tabs>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At MoT we expect all employees to:</w:t>
            </w:r>
          </w:p>
          <w:p w:rsidR="00D921B1" w:rsidRPr="00697F34" w:rsidRDefault="00D921B1" w:rsidP="001E640D">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Work safely and take responsibility for keeping self and colleagues free from harm</w:t>
            </w:r>
          </w:p>
          <w:p w:rsidR="00D921B1" w:rsidRPr="00697F34" w:rsidRDefault="00D921B1" w:rsidP="001E640D">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Report incidents and hazards promptly</w:t>
            </w:r>
          </w:p>
          <w:p w:rsidR="00D921B1" w:rsidRPr="00697F34" w:rsidRDefault="00D921B1" w:rsidP="001E640D">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Know what to do in the event of an emergency</w:t>
            </w:r>
          </w:p>
          <w:p w:rsidR="00D921B1" w:rsidRPr="00697F34" w:rsidRDefault="00D921B1" w:rsidP="001E640D">
            <w:pPr>
              <w:pStyle w:val="ListParagraph"/>
              <w:numPr>
                <w:ilvl w:val="0"/>
                <w:numId w:val="25"/>
              </w:numPr>
              <w:tabs>
                <w:tab w:val="num" w:pos="360"/>
              </w:tabs>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Ensure personal health and safety standards are adhered to when at work or offsite when working</w:t>
            </w:r>
          </w:p>
        </w:tc>
      </w:tr>
      <w:tr w:rsidR="004C06B0" w:rsidRPr="00697F34" w:rsidTr="00697F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2"/>
            <w:tcBorders>
              <w:top w:val="nil"/>
              <w:left w:val="nil"/>
              <w:bottom w:val="single" w:sz="4" w:space="0" w:color="auto"/>
              <w:right w:val="nil"/>
            </w:tcBorders>
            <w:shd w:val="clear" w:color="auto" w:fill="auto"/>
          </w:tcPr>
          <w:p w:rsidR="004C06B0" w:rsidRPr="00697F34" w:rsidRDefault="004C06B0" w:rsidP="001E640D">
            <w:pPr>
              <w:pStyle w:val="Tableheading"/>
              <w:ind w:left="-108"/>
              <w:rPr>
                <w:color w:val="00B0F0"/>
              </w:rPr>
            </w:pPr>
            <w:r w:rsidRPr="00697F34">
              <w:rPr>
                <w:color w:val="00B0F0"/>
              </w:rPr>
              <w:t>Who you will work with</w:t>
            </w:r>
            <w:r w:rsidR="00BD0C1F" w:rsidRPr="00697F34">
              <w:rPr>
                <w:color w:val="00B0F0"/>
              </w:rPr>
              <w:t xml:space="preserve"> to get the job done</w:t>
            </w:r>
          </w:p>
        </w:tc>
      </w:tr>
      <w:tr w:rsidR="00206EFC" w:rsidRPr="00697F34" w:rsidTr="00697F34">
        <w:trPr>
          <w:trHeight w:val="345"/>
        </w:trPr>
        <w:tc>
          <w:tcPr>
            <w:tcW w:w="1214" w:type="pct"/>
            <w:vMerge w:val="restart"/>
            <w:tcBorders>
              <w:top w:val="single" w:sz="4" w:space="0" w:color="auto"/>
              <w:left w:val="single" w:sz="4" w:space="0" w:color="auto"/>
              <w:bottom w:val="single" w:sz="4" w:space="0" w:color="auto"/>
              <w:right w:val="single" w:sz="4" w:space="0" w:color="auto"/>
            </w:tcBorders>
            <w:vAlign w:val="center"/>
          </w:tcPr>
          <w:p w:rsidR="00206EFC" w:rsidRPr="00697F34" w:rsidRDefault="00206EFC" w:rsidP="000F3148">
            <w:pPr>
              <w:pStyle w:val="Tablenormalcondensed"/>
              <w:rPr>
                <w:sz w:val="22"/>
                <w:szCs w:val="22"/>
              </w:rPr>
            </w:pPr>
            <w:r w:rsidRPr="00697F34">
              <w:rPr>
                <w:sz w:val="22"/>
                <w:szCs w:val="22"/>
              </w:rPr>
              <w:t>Internal</w:t>
            </w:r>
          </w:p>
        </w:tc>
        <w:tc>
          <w:tcPr>
            <w:tcW w:w="3786" w:type="pct"/>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06EFC" w:rsidRPr="00697F34" w:rsidRDefault="007C13BF" w:rsidP="000F3148">
            <w:pPr>
              <w:pStyle w:val="Tablenormalcondensed"/>
              <w:jc w:val="both"/>
              <w:rPr>
                <w:rFonts w:asciiTheme="minorHAnsi" w:hAnsiTheme="minorHAnsi"/>
                <w:sz w:val="22"/>
                <w:szCs w:val="22"/>
              </w:rPr>
            </w:pPr>
            <w:r w:rsidRPr="00697F34">
              <w:rPr>
                <w:rFonts w:asciiTheme="minorHAnsi" w:hAnsiTheme="minorHAnsi"/>
                <w:sz w:val="22"/>
                <w:szCs w:val="22"/>
              </w:rPr>
              <w:t>Senior Leadership Team</w:t>
            </w:r>
          </w:p>
        </w:tc>
      </w:tr>
      <w:tr w:rsidR="00206EFC" w:rsidRPr="00697F34" w:rsidTr="00697F34">
        <w:trPr>
          <w:trHeight w:val="345"/>
        </w:trPr>
        <w:tc>
          <w:tcPr>
            <w:tcW w:w="1214" w:type="pct"/>
            <w:vMerge/>
            <w:tcBorders>
              <w:top w:val="single" w:sz="4" w:space="0" w:color="auto"/>
              <w:left w:val="single" w:sz="4" w:space="0" w:color="auto"/>
              <w:bottom w:val="single" w:sz="4" w:space="0" w:color="auto"/>
              <w:right w:val="single" w:sz="4" w:space="0" w:color="auto"/>
            </w:tcBorders>
            <w:vAlign w:val="center"/>
          </w:tcPr>
          <w:p w:rsidR="00206EFC" w:rsidRPr="00697F34" w:rsidRDefault="00206EFC" w:rsidP="000F3148">
            <w:pPr>
              <w:pStyle w:val="Tablenormalcondensed"/>
              <w:rPr>
                <w:sz w:val="22"/>
                <w:szCs w:val="22"/>
              </w:rPr>
            </w:pPr>
          </w:p>
        </w:tc>
        <w:tc>
          <w:tcPr>
            <w:tcW w:w="3786" w:type="pct"/>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206EFC" w:rsidRPr="00697F34" w:rsidRDefault="00206EFC" w:rsidP="000F3148">
            <w:pPr>
              <w:pStyle w:val="Tablenormalcondensed"/>
              <w:jc w:val="both"/>
              <w:rPr>
                <w:rFonts w:asciiTheme="minorHAnsi" w:hAnsiTheme="minorHAnsi"/>
                <w:sz w:val="22"/>
                <w:szCs w:val="22"/>
              </w:rPr>
            </w:pPr>
            <w:r w:rsidRPr="00697F34">
              <w:rPr>
                <w:rFonts w:asciiTheme="minorHAnsi" w:hAnsiTheme="minorHAnsi"/>
                <w:sz w:val="22"/>
                <w:szCs w:val="22"/>
              </w:rPr>
              <w:t>All managers and staff</w:t>
            </w:r>
          </w:p>
        </w:tc>
      </w:tr>
      <w:tr w:rsidR="001E640D" w:rsidRPr="00697F34" w:rsidTr="00697F34">
        <w:trPr>
          <w:trHeight w:val="345"/>
        </w:trPr>
        <w:tc>
          <w:tcPr>
            <w:tcW w:w="1214" w:type="pct"/>
            <w:vMerge w:val="restart"/>
            <w:tcBorders>
              <w:left w:val="single" w:sz="4" w:space="0" w:color="auto"/>
              <w:right w:val="single" w:sz="4" w:space="0" w:color="auto"/>
            </w:tcBorders>
            <w:vAlign w:val="center"/>
          </w:tcPr>
          <w:p w:rsidR="001E640D" w:rsidRPr="00697F34" w:rsidRDefault="001E640D" w:rsidP="000F3148">
            <w:pPr>
              <w:pStyle w:val="Tablenormalcondensed"/>
              <w:rPr>
                <w:sz w:val="22"/>
                <w:szCs w:val="22"/>
              </w:rPr>
            </w:pPr>
            <w:r w:rsidRPr="00697F34">
              <w:rPr>
                <w:sz w:val="22"/>
                <w:szCs w:val="22"/>
              </w:rPr>
              <w:t>External</w:t>
            </w:r>
          </w:p>
        </w:tc>
        <w:tc>
          <w:tcPr>
            <w:tcW w:w="3786" w:type="pct"/>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E640D" w:rsidRPr="00697F34" w:rsidRDefault="001E640D" w:rsidP="007C13BF">
            <w:pPr>
              <w:pStyle w:val="Tablenormalcondensed"/>
              <w:jc w:val="both"/>
              <w:rPr>
                <w:rFonts w:asciiTheme="minorHAnsi" w:hAnsiTheme="minorHAnsi"/>
                <w:sz w:val="22"/>
                <w:szCs w:val="22"/>
              </w:rPr>
            </w:pPr>
            <w:r w:rsidRPr="00697F34">
              <w:rPr>
                <w:rFonts w:asciiTheme="minorHAnsi" w:hAnsiTheme="minorHAnsi"/>
                <w:sz w:val="22"/>
                <w:szCs w:val="22"/>
              </w:rPr>
              <w:t xml:space="preserve">Government agencies and other organisations </w:t>
            </w:r>
          </w:p>
        </w:tc>
      </w:tr>
      <w:tr w:rsidR="001E640D" w:rsidRPr="00697F34" w:rsidTr="00697F34">
        <w:trPr>
          <w:trHeight w:val="345"/>
        </w:trPr>
        <w:tc>
          <w:tcPr>
            <w:tcW w:w="1214" w:type="pct"/>
            <w:vMerge/>
            <w:tcBorders>
              <w:left w:val="single" w:sz="4" w:space="0" w:color="auto"/>
              <w:right w:val="single" w:sz="4" w:space="0" w:color="auto"/>
            </w:tcBorders>
            <w:vAlign w:val="center"/>
          </w:tcPr>
          <w:p w:rsidR="001E640D" w:rsidRPr="00697F34" w:rsidRDefault="001E640D" w:rsidP="000F3148">
            <w:pPr>
              <w:pStyle w:val="Tablenormalcondensed"/>
              <w:rPr>
                <w:sz w:val="22"/>
                <w:szCs w:val="22"/>
              </w:rPr>
            </w:pPr>
          </w:p>
        </w:tc>
        <w:tc>
          <w:tcPr>
            <w:tcW w:w="3786" w:type="pct"/>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E640D" w:rsidRPr="00697F34" w:rsidRDefault="001E640D" w:rsidP="007C13BF">
            <w:pPr>
              <w:pStyle w:val="Tablenormalcondensed"/>
              <w:jc w:val="both"/>
              <w:rPr>
                <w:rFonts w:asciiTheme="minorHAnsi" w:hAnsiTheme="minorHAnsi"/>
                <w:sz w:val="22"/>
                <w:szCs w:val="22"/>
              </w:rPr>
            </w:pPr>
            <w:r w:rsidRPr="00697F34">
              <w:rPr>
                <w:rFonts w:asciiTheme="minorHAnsi" w:hAnsiTheme="minorHAnsi"/>
                <w:sz w:val="22"/>
                <w:szCs w:val="22"/>
              </w:rPr>
              <w:t>Relevant government sector forums</w:t>
            </w:r>
          </w:p>
        </w:tc>
      </w:tr>
      <w:tr w:rsidR="001E640D" w:rsidRPr="00697F34" w:rsidTr="00697F34">
        <w:trPr>
          <w:trHeight w:val="345"/>
        </w:trPr>
        <w:tc>
          <w:tcPr>
            <w:tcW w:w="1214" w:type="pct"/>
            <w:vMerge/>
            <w:tcBorders>
              <w:left w:val="single" w:sz="4" w:space="0" w:color="auto"/>
              <w:bottom w:val="single" w:sz="4" w:space="0" w:color="auto"/>
              <w:right w:val="single" w:sz="4" w:space="0" w:color="auto"/>
            </w:tcBorders>
            <w:vAlign w:val="center"/>
          </w:tcPr>
          <w:p w:rsidR="001E640D" w:rsidRPr="00697F34" w:rsidRDefault="001E640D" w:rsidP="000F3148">
            <w:pPr>
              <w:pStyle w:val="Tablenormalcondensed"/>
              <w:rPr>
                <w:sz w:val="22"/>
                <w:szCs w:val="22"/>
              </w:rPr>
            </w:pPr>
          </w:p>
        </w:tc>
        <w:tc>
          <w:tcPr>
            <w:tcW w:w="3786" w:type="pct"/>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1E640D" w:rsidRPr="00697F34" w:rsidRDefault="001E640D" w:rsidP="007C13BF">
            <w:pPr>
              <w:pStyle w:val="Tablenormalcondensed"/>
              <w:jc w:val="both"/>
              <w:rPr>
                <w:rFonts w:asciiTheme="minorHAnsi" w:hAnsiTheme="minorHAnsi"/>
                <w:sz w:val="22"/>
                <w:szCs w:val="22"/>
              </w:rPr>
            </w:pPr>
            <w:r w:rsidRPr="00697F34">
              <w:rPr>
                <w:rFonts w:asciiTheme="minorHAnsi" w:hAnsiTheme="minorHAnsi"/>
                <w:sz w:val="22"/>
                <w:szCs w:val="22"/>
              </w:rPr>
              <w:t>External providers/consultants</w:t>
            </w:r>
          </w:p>
        </w:tc>
      </w:tr>
    </w:tbl>
    <w:p w:rsidR="001E3954" w:rsidRPr="00697F34" w:rsidRDefault="001E3954"/>
    <w:tbl>
      <w:tblPr>
        <w:tblStyle w:val="Blanktable"/>
        <w:tblpPr w:leftFromText="180" w:rightFromText="180" w:vertAnchor="text" w:horzAnchor="margin" w:tblpY="223"/>
        <w:tblW w:w="9997" w:type="dxa"/>
        <w:tblInd w:w="0" w:type="dxa"/>
        <w:tblLayout w:type="fixed"/>
        <w:tblLook w:val="04A0" w:firstRow="1" w:lastRow="0" w:firstColumn="1" w:lastColumn="0" w:noHBand="0" w:noVBand="1"/>
      </w:tblPr>
      <w:tblGrid>
        <w:gridCol w:w="9997"/>
      </w:tblGrid>
      <w:tr w:rsidR="000F2068" w:rsidRPr="00697F34" w:rsidTr="000F2068">
        <w:trPr>
          <w:cantSplit/>
          <w:tblHeader/>
        </w:trPr>
        <w:tc>
          <w:tcPr>
            <w:tcW w:w="9997" w:type="dxa"/>
            <w:shd w:val="clear" w:color="auto" w:fill="auto"/>
          </w:tcPr>
          <w:p w:rsidR="000F2068" w:rsidRPr="00697F34" w:rsidRDefault="000F2068" w:rsidP="001E640D">
            <w:pPr>
              <w:pStyle w:val="Tableheading"/>
              <w:rPr>
                <w:color w:val="00B0F0"/>
              </w:rPr>
            </w:pPr>
            <w:r w:rsidRPr="00697F34">
              <w:rPr>
                <w:color w:val="00B0F0"/>
              </w:rPr>
              <w:t>What you will bring specifically</w:t>
            </w:r>
          </w:p>
        </w:tc>
      </w:tr>
      <w:tr w:rsidR="000F2068" w:rsidRPr="00697F34" w:rsidTr="000F2068">
        <w:tc>
          <w:tcPr>
            <w:tcW w:w="9997" w:type="dxa"/>
          </w:tcPr>
          <w:p w:rsidR="000F2068" w:rsidRPr="00697F34" w:rsidRDefault="000F2068" w:rsidP="000F2068">
            <w:pPr>
              <w:pStyle w:val="Tablenormal0"/>
              <w:rPr>
                <w:b/>
                <w:bCs/>
                <w:sz w:val="22"/>
                <w:szCs w:val="22"/>
              </w:rPr>
            </w:pPr>
            <w:r w:rsidRPr="00697F34">
              <w:rPr>
                <w:b/>
                <w:bCs/>
                <w:sz w:val="22"/>
                <w:szCs w:val="22"/>
              </w:rPr>
              <w:t xml:space="preserve">Experience: </w:t>
            </w:r>
          </w:p>
          <w:p w:rsidR="001A40D9" w:rsidRPr="00697F34" w:rsidRDefault="001A40D9" w:rsidP="001A40D9">
            <w:pPr>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Essential:</w:t>
            </w:r>
          </w:p>
          <w:p w:rsidR="00376839" w:rsidRPr="00697F34" w:rsidRDefault="00E65787" w:rsidP="00E65787">
            <w:pPr>
              <w:pStyle w:val="ListParagraph"/>
              <w:numPr>
                <w:ilvl w:val="0"/>
                <w:numId w:val="27"/>
              </w:numPr>
              <w:contextualSpacing/>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Information gathering</w:t>
            </w:r>
            <w:r w:rsidR="00AC0FD0" w:rsidRPr="00697F34">
              <w:rPr>
                <w:rFonts w:asciiTheme="minorHAnsi" w:eastAsia="Times New Roman" w:hAnsiTheme="minorHAnsi"/>
                <w:noProof/>
                <w:sz w:val="22"/>
                <w:szCs w:val="20"/>
                <w:lang w:val="en-NZ"/>
              </w:rPr>
              <w:t>, analysis</w:t>
            </w:r>
            <w:r w:rsidRPr="00697F34">
              <w:rPr>
                <w:rFonts w:asciiTheme="minorHAnsi" w:eastAsia="Times New Roman" w:hAnsiTheme="minorHAnsi"/>
                <w:noProof/>
                <w:sz w:val="22"/>
                <w:szCs w:val="20"/>
                <w:lang w:val="en-NZ"/>
              </w:rPr>
              <w:t xml:space="preserve"> and report writing </w:t>
            </w:r>
          </w:p>
          <w:p w:rsidR="00E65787" w:rsidRPr="00697F34" w:rsidRDefault="00376839" w:rsidP="00E65787">
            <w:pPr>
              <w:pStyle w:val="ListParagraph"/>
              <w:numPr>
                <w:ilvl w:val="0"/>
                <w:numId w:val="27"/>
              </w:numPr>
              <w:contextualSpacing/>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Business process improvement initiatives</w:t>
            </w:r>
          </w:p>
          <w:p w:rsidR="001A40D9" w:rsidRPr="00697F34" w:rsidRDefault="00E65787" w:rsidP="001A40D9">
            <w:pPr>
              <w:ind w:left="720"/>
              <w:contextualSpacing/>
              <w:rPr>
                <w:rFonts w:asciiTheme="minorHAnsi" w:eastAsia="Times New Roman" w:hAnsiTheme="minorHAnsi"/>
                <w:noProof/>
                <w:sz w:val="22"/>
                <w:szCs w:val="20"/>
              </w:rPr>
            </w:pPr>
            <w:r w:rsidRPr="00697F34">
              <w:rPr>
                <w:rFonts w:asciiTheme="minorHAnsi" w:eastAsia="Times New Roman" w:hAnsiTheme="minorHAnsi"/>
                <w:noProof/>
                <w:sz w:val="22"/>
                <w:szCs w:val="20"/>
                <w:lang w:val="en-NZ"/>
              </w:rPr>
              <w:t>P</w:t>
            </w:r>
            <w:r w:rsidR="00E43DA8" w:rsidRPr="00697F34">
              <w:rPr>
                <w:rFonts w:asciiTheme="minorHAnsi" w:eastAsia="Times New Roman" w:hAnsiTheme="minorHAnsi"/>
                <w:noProof/>
                <w:sz w:val="22"/>
                <w:szCs w:val="20"/>
                <w:lang w:val="en-NZ"/>
              </w:rPr>
              <w:t>l</w:t>
            </w:r>
            <w:r w:rsidRPr="00697F34">
              <w:rPr>
                <w:rFonts w:asciiTheme="minorHAnsi" w:eastAsia="Times New Roman" w:hAnsiTheme="minorHAnsi"/>
                <w:noProof/>
                <w:sz w:val="22"/>
                <w:szCs w:val="20"/>
                <w:lang w:val="en-NZ"/>
              </w:rPr>
              <w:t>us</w:t>
            </w:r>
          </w:p>
          <w:p w:rsidR="001A40D9" w:rsidRPr="00697F34" w:rsidRDefault="001A40D9" w:rsidP="00972CC4">
            <w:pPr>
              <w:pStyle w:val="Tablenormal0"/>
              <w:rPr>
                <w:b/>
                <w:bCs/>
                <w:sz w:val="22"/>
                <w:szCs w:val="22"/>
              </w:rPr>
            </w:pPr>
            <w:r w:rsidRPr="00697F34">
              <w:rPr>
                <w:b/>
                <w:bCs/>
                <w:sz w:val="22"/>
                <w:szCs w:val="22"/>
              </w:rPr>
              <w:t xml:space="preserve">Desirable: </w:t>
            </w:r>
          </w:p>
          <w:p w:rsidR="000F2068" w:rsidRPr="00697F34" w:rsidRDefault="001A40D9" w:rsidP="00E65787">
            <w:pPr>
              <w:pStyle w:val="ListParagraph"/>
              <w:numPr>
                <w:ilvl w:val="0"/>
                <w:numId w:val="27"/>
              </w:numPr>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 xml:space="preserve">Experience in, or an understanding of, the New Zealand public sector </w:t>
            </w:r>
          </w:p>
          <w:p w:rsidR="00AC0FD0" w:rsidRPr="00697F34" w:rsidRDefault="00AC0FD0" w:rsidP="00E65787">
            <w:pPr>
              <w:pStyle w:val="ListParagraph"/>
              <w:numPr>
                <w:ilvl w:val="0"/>
                <w:numId w:val="27"/>
              </w:numPr>
              <w:contextualSpacing/>
              <w:jc w:val="both"/>
              <w:rPr>
                <w:rFonts w:asciiTheme="minorHAnsi" w:eastAsia="Times New Roman" w:hAnsiTheme="minorHAnsi"/>
                <w:noProof/>
                <w:sz w:val="22"/>
                <w:szCs w:val="20"/>
                <w:lang w:val="en-NZ"/>
              </w:rPr>
            </w:pPr>
            <w:r w:rsidRPr="00697F34">
              <w:rPr>
                <w:rFonts w:asciiTheme="minorHAnsi" w:eastAsia="Times New Roman" w:hAnsiTheme="minorHAnsi"/>
                <w:noProof/>
                <w:sz w:val="22"/>
                <w:szCs w:val="20"/>
                <w:lang w:val="en-NZ"/>
              </w:rPr>
              <w:t>Experience in, or an understanding of, contract administration</w:t>
            </w:r>
          </w:p>
          <w:p w:rsidR="001E3954" w:rsidRPr="00697F34" w:rsidRDefault="001E3954" w:rsidP="000F2068">
            <w:pPr>
              <w:pStyle w:val="Tablebullet"/>
              <w:numPr>
                <w:ilvl w:val="0"/>
                <w:numId w:val="0"/>
              </w:numPr>
              <w:jc w:val="both"/>
              <w:rPr>
                <w:b/>
                <w:bCs/>
                <w:sz w:val="22"/>
                <w:szCs w:val="22"/>
              </w:rPr>
            </w:pPr>
          </w:p>
          <w:p w:rsidR="000F2068" w:rsidRPr="00697F34" w:rsidRDefault="000F2068" w:rsidP="000F2068">
            <w:pPr>
              <w:pStyle w:val="Tablebullet"/>
              <w:numPr>
                <w:ilvl w:val="0"/>
                <w:numId w:val="0"/>
              </w:numPr>
              <w:jc w:val="both"/>
              <w:rPr>
                <w:b/>
                <w:bCs/>
                <w:sz w:val="22"/>
                <w:szCs w:val="22"/>
              </w:rPr>
            </w:pPr>
            <w:r w:rsidRPr="00697F34">
              <w:rPr>
                <w:b/>
                <w:bCs/>
                <w:sz w:val="22"/>
                <w:szCs w:val="22"/>
              </w:rPr>
              <w:t>Knowledge &amp; Skills:</w:t>
            </w:r>
          </w:p>
          <w:tbl>
            <w:tblPr>
              <w:tblStyle w:val="Blanktable"/>
              <w:tblpPr w:leftFromText="180" w:rightFromText="180" w:vertAnchor="text" w:horzAnchor="margin" w:tblpY="69"/>
              <w:tblW w:w="9781" w:type="dxa"/>
              <w:tblInd w:w="0" w:type="dxa"/>
              <w:tblLayout w:type="fixed"/>
              <w:tblLook w:val="04A0" w:firstRow="1" w:lastRow="0" w:firstColumn="1" w:lastColumn="0" w:noHBand="0" w:noVBand="1"/>
            </w:tblPr>
            <w:tblGrid>
              <w:gridCol w:w="9781"/>
            </w:tblGrid>
            <w:tr w:rsidR="000F2068" w:rsidRPr="00697F34" w:rsidTr="00391599">
              <w:trPr>
                <w:cantSplit/>
                <w:tblHeader/>
              </w:trPr>
              <w:tc>
                <w:tcPr>
                  <w:tcW w:w="9781" w:type="dxa"/>
                  <w:shd w:val="clear" w:color="auto" w:fill="auto"/>
                </w:tcPr>
                <w:p w:rsidR="00AC0FD0" w:rsidRPr="00697F34" w:rsidRDefault="00AC0FD0" w:rsidP="00AC0FD0">
                  <w:pPr>
                    <w:pStyle w:val="ListParagraph"/>
                    <w:numPr>
                      <w:ilvl w:val="0"/>
                      <w:numId w:val="27"/>
                    </w:numPr>
                    <w:contextualSpacing/>
                    <w:rPr>
                      <w:noProof/>
                      <w:sz w:val="22"/>
                      <w:szCs w:val="22"/>
                    </w:rPr>
                  </w:pPr>
                  <w:r w:rsidRPr="00697F34">
                    <w:rPr>
                      <w:noProof/>
                      <w:sz w:val="22"/>
                      <w:szCs w:val="22"/>
                    </w:rPr>
                    <w:lastRenderedPageBreak/>
                    <w:t>Proven written and verbal communication, with influencing and reporting skills</w:t>
                  </w:r>
                </w:p>
                <w:p w:rsidR="00AC0FD0" w:rsidRPr="00697F34" w:rsidRDefault="00AC0FD0" w:rsidP="00AC0FD0">
                  <w:pPr>
                    <w:pStyle w:val="ListParagraph"/>
                    <w:numPr>
                      <w:ilvl w:val="0"/>
                      <w:numId w:val="27"/>
                    </w:numPr>
                    <w:contextualSpacing/>
                    <w:rPr>
                      <w:noProof/>
                      <w:sz w:val="22"/>
                      <w:szCs w:val="22"/>
                    </w:rPr>
                  </w:pPr>
                  <w:r w:rsidRPr="00697F34">
                    <w:rPr>
                      <w:noProof/>
                      <w:sz w:val="22"/>
                      <w:szCs w:val="22"/>
                    </w:rPr>
                    <w:t>Strong numeracy skills</w:t>
                  </w:r>
                </w:p>
                <w:p w:rsidR="00E65787" w:rsidRPr="00697F34" w:rsidRDefault="00E65787" w:rsidP="00AC0FD0">
                  <w:pPr>
                    <w:pStyle w:val="ListParagraph"/>
                    <w:numPr>
                      <w:ilvl w:val="0"/>
                      <w:numId w:val="27"/>
                    </w:numPr>
                    <w:contextualSpacing/>
                    <w:rPr>
                      <w:rFonts w:asciiTheme="minorHAnsi" w:eastAsia="Times New Roman" w:hAnsiTheme="minorHAnsi"/>
                      <w:noProof/>
                      <w:sz w:val="22"/>
                      <w:szCs w:val="20"/>
                    </w:rPr>
                  </w:pPr>
                  <w:r w:rsidRPr="00697F34">
                    <w:rPr>
                      <w:rFonts w:asciiTheme="minorHAnsi" w:eastAsia="Times New Roman" w:hAnsiTheme="minorHAnsi"/>
                      <w:noProof/>
                      <w:sz w:val="22"/>
                      <w:szCs w:val="20"/>
                    </w:rPr>
                    <w:t>High proficiency in Word and Excel</w:t>
                  </w:r>
                </w:p>
                <w:p w:rsidR="00E65787" w:rsidRPr="00697F34" w:rsidRDefault="00E65787" w:rsidP="00AC0FD0">
                  <w:pPr>
                    <w:pStyle w:val="ListParagraph"/>
                    <w:numPr>
                      <w:ilvl w:val="0"/>
                      <w:numId w:val="27"/>
                    </w:numPr>
                    <w:contextualSpacing/>
                    <w:rPr>
                      <w:rFonts w:asciiTheme="minorHAnsi" w:eastAsia="Times New Roman" w:hAnsiTheme="minorHAnsi"/>
                      <w:noProof/>
                      <w:sz w:val="22"/>
                      <w:szCs w:val="20"/>
                    </w:rPr>
                  </w:pPr>
                  <w:r w:rsidRPr="00697F34">
                    <w:rPr>
                      <w:rFonts w:asciiTheme="minorHAnsi" w:eastAsia="Times New Roman" w:hAnsiTheme="minorHAnsi"/>
                      <w:noProof/>
                      <w:sz w:val="22"/>
                      <w:szCs w:val="20"/>
                    </w:rPr>
                    <w:t>Excellent organisational skills</w:t>
                  </w:r>
                </w:p>
                <w:p w:rsidR="00E65787" w:rsidRPr="00697F34" w:rsidRDefault="00E65787" w:rsidP="00AC0FD0">
                  <w:pPr>
                    <w:pStyle w:val="ListParagraph"/>
                    <w:numPr>
                      <w:ilvl w:val="0"/>
                      <w:numId w:val="27"/>
                    </w:numPr>
                    <w:contextualSpacing/>
                    <w:rPr>
                      <w:rFonts w:asciiTheme="minorHAnsi" w:eastAsia="Times New Roman" w:hAnsiTheme="minorHAnsi"/>
                      <w:noProof/>
                      <w:sz w:val="22"/>
                      <w:szCs w:val="20"/>
                    </w:rPr>
                  </w:pPr>
                  <w:r w:rsidRPr="00697F34">
                    <w:rPr>
                      <w:rFonts w:asciiTheme="minorHAnsi" w:eastAsia="Times New Roman" w:hAnsiTheme="minorHAnsi"/>
                      <w:noProof/>
                      <w:sz w:val="22"/>
                      <w:szCs w:val="20"/>
                    </w:rPr>
                    <w:t>Able to work autonomously and</w:t>
                  </w:r>
                  <w:bookmarkStart w:id="0" w:name="_GoBack"/>
                  <w:bookmarkEnd w:id="0"/>
                  <w:r w:rsidRPr="00697F34">
                    <w:rPr>
                      <w:rFonts w:asciiTheme="minorHAnsi" w:eastAsia="Times New Roman" w:hAnsiTheme="minorHAnsi"/>
                      <w:noProof/>
                      <w:sz w:val="22"/>
                      <w:szCs w:val="20"/>
                    </w:rPr>
                    <w:t xml:space="preserve"> meet deadlines</w:t>
                  </w:r>
                </w:p>
                <w:p w:rsidR="001A40D9" w:rsidRPr="00697F34" w:rsidRDefault="001A40D9" w:rsidP="00AC0FD0">
                  <w:pPr>
                    <w:pStyle w:val="ListParagraph"/>
                    <w:numPr>
                      <w:ilvl w:val="0"/>
                      <w:numId w:val="27"/>
                    </w:numPr>
                    <w:contextualSpacing/>
                    <w:jc w:val="both"/>
                    <w:rPr>
                      <w:rFonts w:asciiTheme="minorHAnsi" w:eastAsia="Times New Roman" w:hAnsiTheme="minorHAnsi"/>
                      <w:noProof/>
                      <w:sz w:val="22"/>
                      <w:szCs w:val="20"/>
                    </w:rPr>
                  </w:pPr>
                  <w:r w:rsidRPr="00697F34">
                    <w:rPr>
                      <w:rFonts w:asciiTheme="minorHAnsi" w:eastAsia="Times New Roman" w:hAnsiTheme="minorHAnsi"/>
                      <w:noProof/>
                      <w:sz w:val="22"/>
                      <w:szCs w:val="20"/>
                    </w:rPr>
                    <w:t>A tertiary</w:t>
                  </w:r>
                  <w:r w:rsidR="00AC7F9D" w:rsidRPr="00697F34">
                    <w:rPr>
                      <w:rFonts w:asciiTheme="minorHAnsi" w:eastAsia="Times New Roman" w:hAnsiTheme="minorHAnsi"/>
                      <w:noProof/>
                      <w:sz w:val="22"/>
                      <w:szCs w:val="20"/>
                    </w:rPr>
                    <w:t xml:space="preserve"> qualification in a relevant fie</w:t>
                  </w:r>
                  <w:r w:rsidRPr="00697F34">
                    <w:rPr>
                      <w:rFonts w:asciiTheme="minorHAnsi" w:eastAsia="Times New Roman" w:hAnsiTheme="minorHAnsi"/>
                      <w:noProof/>
                      <w:sz w:val="22"/>
                      <w:szCs w:val="20"/>
                    </w:rPr>
                    <w:t>ld or comparable experience</w:t>
                  </w:r>
                  <w:r w:rsidR="00E65787" w:rsidRPr="00697F34">
                    <w:rPr>
                      <w:rFonts w:asciiTheme="minorHAnsi" w:eastAsia="Times New Roman" w:hAnsiTheme="minorHAnsi"/>
                      <w:noProof/>
                      <w:sz w:val="22"/>
                      <w:szCs w:val="20"/>
                    </w:rPr>
                    <w:t xml:space="preserve"> is preferred</w:t>
                  </w:r>
                </w:p>
                <w:p w:rsidR="007C5804" w:rsidRPr="00697F34" w:rsidRDefault="007C5804" w:rsidP="00AC0FD0">
                  <w:pPr>
                    <w:pStyle w:val="Tableheading"/>
                    <w:ind w:left="-108"/>
                    <w:rPr>
                      <w:color w:val="00B0F0"/>
                    </w:rPr>
                  </w:pPr>
                </w:p>
                <w:p w:rsidR="000F2068" w:rsidRPr="00697F34" w:rsidRDefault="001E3954" w:rsidP="00AC0FD0">
                  <w:pPr>
                    <w:pStyle w:val="Tableheading"/>
                    <w:ind w:left="-105"/>
                    <w:rPr>
                      <w:color w:val="00B0F0"/>
                    </w:rPr>
                  </w:pPr>
                  <w:r w:rsidRPr="00697F34">
                    <w:rPr>
                      <w:color w:val="00B0F0"/>
                    </w:rPr>
                    <w:t>Capabilities</w:t>
                  </w:r>
                  <w:r w:rsidR="000F2068" w:rsidRPr="00697F34">
                    <w:rPr>
                      <w:color w:val="00B0F0"/>
                    </w:rPr>
                    <w:t xml:space="preserve"> </w:t>
                  </w:r>
                </w:p>
              </w:tc>
            </w:tr>
          </w:tbl>
          <w:p w:rsidR="000F2068" w:rsidRPr="00697F34" w:rsidRDefault="000F2068" w:rsidP="000F2068">
            <w:pPr>
              <w:pStyle w:val="Tablebullet"/>
              <w:numPr>
                <w:ilvl w:val="0"/>
                <w:numId w:val="0"/>
              </w:numPr>
              <w:ind w:left="357" w:hanging="357"/>
              <w:jc w:val="both"/>
              <w:rPr>
                <w:sz w:val="22"/>
                <w:szCs w:val="22"/>
              </w:rPr>
            </w:pPr>
          </w:p>
        </w:tc>
      </w:tr>
    </w:tbl>
    <w:p w:rsidR="001E3954" w:rsidRPr="00697F34" w:rsidRDefault="001E3954" w:rsidP="001E3954">
      <w:pPr>
        <w:pStyle w:val="Tinyline"/>
        <w:rPr>
          <w:sz w:val="22"/>
          <w:szCs w:val="22"/>
        </w:rPr>
      </w:pPr>
      <w:r w:rsidRPr="00697F34">
        <w:rPr>
          <w:sz w:val="22"/>
          <w:szCs w:val="22"/>
        </w:rPr>
        <w:lastRenderedPageBreak/>
        <w:t xml:space="preserve">We use the Leadership Success Profile (LSP) to help guide our people, including those not in management positions, towards the skills and capabilities needed for success within the Ministry and across the public sector. </w:t>
      </w:r>
    </w:p>
    <w:p w:rsidR="00206EFC" w:rsidRPr="00697F34" w:rsidRDefault="00206EFC" w:rsidP="00206EFC">
      <w:pPr>
        <w:spacing w:after="0"/>
        <w:rPr>
          <w:b/>
          <w:sz w:val="22"/>
          <w:szCs w:val="22"/>
          <w:lang w:val="en-NZ"/>
        </w:rPr>
      </w:pPr>
      <w:r w:rsidRPr="00697F34">
        <w:rPr>
          <w:b/>
          <w:sz w:val="22"/>
          <w:szCs w:val="22"/>
          <w:lang w:val="en-NZ"/>
        </w:rPr>
        <w:t>Collaboration</w:t>
      </w:r>
    </w:p>
    <w:p w:rsidR="00206EFC" w:rsidRPr="00697F34" w:rsidRDefault="00206EFC" w:rsidP="00206EFC">
      <w:pPr>
        <w:numPr>
          <w:ilvl w:val="0"/>
          <w:numId w:val="28"/>
        </w:numPr>
        <w:spacing w:before="0" w:after="0"/>
        <w:rPr>
          <w:sz w:val="22"/>
          <w:szCs w:val="22"/>
          <w:lang w:val="en-NZ"/>
        </w:rPr>
      </w:pPr>
      <w:r w:rsidRPr="00697F34">
        <w:rPr>
          <w:sz w:val="22"/>
          <w:szCs w:val="22"/>
          <w:lang w:val="en-NZ"/>
        </w:rPr>
        <w:t xml:space="preserve">Promotes cooperation, collaboration and flexibility in working with others, contributes as a team member, </w:t>
      </w:r>
      <w:proofErr w:type="gramStart"/>
      <w:r w:rsidRPr="00697F34">
        <w:rPr>
          <w:sz w:val="22"/>
          <w:szCs w:val="22"/>
          <w:lang w:val="en-NZ"/>
        </w:rPr>
        <w:t>manages</w:t>
      </w:r>
      <w:proofErr w:type="gramEnd"/>
      <w:r w:rsidRPr="00697F34">
        <w:rPr>
          <w:sz w:val="22"/>
          <w:szCs w:val="22"/>
          <w:lang w:val="en-NZ"/>
        </w:rPr>
        <w:t xml:space="preserve"> conflict with teams.</w:t>
      </w:r>
    </w:p>
    <w:p w:rsidR="001E3954" w:rsidRPr="00697F34" w:rsidRDefault="001E3954" w:rsidP="001E3954">
      <w:pPr>
        <w:spacing w:after="0"/>
        <w:rPr>
          <w:b/>
          <w:sz w:val="22"/>
          <w:szCs w:val="22"/>
          <w:lang w:val="en-NZ"/>
        </w:rPr>
      </w:pPr>
      <w:r w:rsidRPr="00697F34">
        <w:rPr>
          <w:b/>
          <w:sz w:val="22"/>
          <w:szCs w:val="22"/>
          <w:lang w:val="en-NZ"/>
        </w:rPr>
        <w:t>Self-aware and agile</w:t>
      </w:r>
    </w:p>
    <w:p w:rsidR="001E3954" w:rsidRPr="00697F34" w:rsidRDefault="001E3954" w:rsidP="001E3954">
      <w:pPr>
        <w:numPr>
          <w:ilvl w:val="0"/>
          <w:numId w:val="28"/>
        </w:numPr>
        <w:spacing w:before="0" w:after="0"/>
        <w:rPr>
          <w:sz w:val="22"/>
          <w:szCs w:val="22"/>
          <w:lang w:val="en-NZ"/>
        </w:rPr>
      </w:pPr>
      <w:r w:rsidRPr="00697F34">
        <w:rPr>
          <w:sz w:val="22"/>
          <w:szCs w:val="22"/>
          <w:lang w:val="en-NZ"/>
        </w:rPr>
        <w:t>Leverage self-awareness to improve skills and adapt approach; to strengthen personal capability over time and optimise effectiveness with different situations and people.</w:t>
      </w:r>
    </w:p>
    <w:p w:rsidR="00206EFC" w:rsidRPr="00697F34" w:rsidRDefault="00206EFC" w:rsidP="00206EFC">
      <w:pPr>
        <w:spacing w:after="0"/>
        <w:rPr>
          <w:b/>
          <w:sz w:val="22"/>
          <w:szCs w:val="22"/>
          <w:lang w:val="en-NZ"/>
        </w:rPr>
      </w:pPr>
      <w:r w:rsidRPr="00697F34">
        <w:rPr>
          <w:b/>
          <w:sz w:val="22"/>
          <w:szCs w:val="22"/>
          <w:lang w:val="en-NZ"/>
        </w:rPr>
        <w:t>Achieving ambitious goals</w:t>
      </w:r>
    </w:p>
    <w:p w:rsidR="00206EFC" w:rsidRPr="00697F34" w:rsidRDefault="00206EFC" w:rsidP="00206EFC">
      <w:pPr>
        <w:numPr>
          <w:ilvl w:val="0"/>
          <w:numId w:val="28"/>
        </w:numPr>
        <w:spacing w:before="0" w:after="0"/>
        <w:rPr>
          <w:sz w:val="22"/>
          <w:szCs w:val="22"/>
          <w:lang w:val="en-NZ"/>
        </w:rPr>
      </w:pPr>
      <w:r w:rsidRPr="00697F34">
        <w:rPr>
          <w:sz w:val="22"/>
          <w:szCs w:val="22"/>
          <w:lang w:val="en-NZ"/>
        </w:rPr>
        <w:t xml:space="preserve">Demonstrate achievement, drive, ambition, optimism, and delivery-focus; to make things happen and achieve ambitious outcomes. </w:t>
      </w:r>
    </w:p>
    <w:p w:rsidR="00206EFC" w:rsidRPr="00697F34" w:rsidRDefault="00206EFC" w:rsidP="00206EFC">
      <w:pPr>
        <w:spacing w:after="0"/>
        <w:rPr>
          <w:b/>
          <w:sz w:val="22"/>
          <w:szCs w:val="22"/>
          <w:lang w:val="en-NZ"/>
        </w:rPr>
      </w:pPr>
      <w:r w:rsidRPr="00697F34">
        <w:rPr>
          <w:b/>
          <w:sz w:val="22"/>
          <w:szCs w:val="22"/>
          <w:lang w:val="en-NZ"/>
        </w:rPr>
        <w:t>Critical Thinking</w:t>
      </w:r>
    </w:p>
    <w:p w:rsidR="00206EFC" w:rsidRPr="00697F34" w:rsidRDefault="00206EFC" w:rsidP="00206EFC">
      <w:pPr>
        <w:numPr>
          <w:ilvl w:val="0"/>
          <w:numId w:val="28"/>
        </w:numPr>
        <w:spacing w:before="0" w:after="0"/>
        <w:rPr>
          <w:sz w:val="22"/>
          <w:szCs w:val="22"/>
          <w:lang w:val="en-NZ"/>
        </w:rPr>
      </w:pPr>
      <w:r w:rsidRPr="00697F34">
        <w:rPr>
          <w:sz w:val="22"/>
          <w:szCs w:val="22"/>
          <w:lang w:val="en-NZ"/>
        </w:rPr>
        <w:t>Uses logic and reasoning to identify the strengths and weaknesses of alternative solutions, conclusions or approaches to problems</w:t>
      </w:r>
    </w:p>
    <w:p w:rsidR="00AC0FD0" w:rsidRPr="00697F34" w:rsidRDefault="00AC0FD0" w:rsidP="00AC0FD0">
      <w:pPr>
        <w:spacing w:after="0"/>
        <w:rPr>
          <w:b/>
          <w:sz w:val="22"/>
          <w:szCs w:val="22"/>
          <w:lang w:val="en-NZ"/>
        </w:rPr>
      </w:pPr>
      <w:r w:rsidRPr="00697F34">
        <w:rPr>
          <w:b/>
          <w:sz w:val="22"/>
          <w:szCs w:val="22"/>
          <w:lang w:val="en-NZ"/>
        </w:rPr>
        <w:t>Curious</w:t>
      </w:r>
    </w:p>
    <w:p w:rsidR="00AC0FD0" w:rsidRPr="00697F34" w:rsidRDefault="00AC0FD0" w:rsidP="00AC0FD0">
      <w:pPr>
        <w:numPr>
          <w:ilvl w:val="0"/>
          <w:numId w:val="28"/>
        </w:numPr>
        <w:spacing w:before="0" w:after="0"/>
        <w:rPr>
          <w:sz w:val="22"/>
          <w:szCs w:val="22"/>
          <w:lang w:val="en-NZ"/>
        </w:rPr>
      </w:pPr>
      <w:r w:rsidRPr="00697F34">
        <w:rPr>
          <w:sz w:val="22"/>
          <w:szCs w:val="22"/>
          <w:lang w:val="en-NZ"/>
        </w:rPr>
        <w:t>Show curiosity, flexibility, and openness in analysing and integrating ideas, information, and differing perspectives; to make fit-for-purpose decisions.</w:t>
      </w:r>
    </w:p>
    <w:p w:rsidR="00AC0FD0" w:rsidRPr="00697F34" w:rsidRDefault="00AC0FD0" w:rsidP="00206EFC">
      <w:pPr>
        <w:numPr>
          <w:ilvl w:val="0"/>
          <w:numId w:val="28"/>
        </w:numPr>
        <w:spacing w:before="0" w:after="0"/>
        <w:rPr>
          <w:sz w:val="22"/>
          <w:szCs w:val="22"/>
          <w:lang w:val="en-NZ"/>
        </w:rPr>
      </w:pPr>
    </w:p>
    <w:p w:rsidR="004C06B0" w:rsidRPr="00AD5B2A" w:rsidRDefault="004C06B0" w:rsidP="0096349B">
      <w:pPr>
        <w:outlineLvl w:val="3"/>
        <w:rPr>
          <w:rFonts w:asciiTheme="minorHAnsi" w:eastAsia="Times New Roman" w:hAnsiTheme="minorHAnsi"/>
          <w:sz w:val="22"/>
          <w:szCs w:val="20"/>
        </w:rPr>
      </w:pPr>
    </w:p>
    <w:sectPr w:rsidR="004C06B0" w:rsidRPr="00AD5B2A" w:rsidSect="00D921B1">
      <w:headerReference w:type="default" r:id="rId10"/>
      <w:footerReference w:type="default" r:id="rId11"/>
      <w:headerReference w:type="first" r:id="rId12"/>
      <w:footerReference w:type="first" r:id="rId13"/>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CE" w:rsidRDefault="00D168CE">
      <w:r>
        <w:separator/>
      </w:r>
    </w:p>
    <w:p w:rsidR="00D168CE" w:rsidRDefault="00D168CE"/>
    <w:p w:rsidR="00D168CE" w:rsidRDefault="00D168CE"/>
  </w:endnote>
  <w:endnote w:type="continuationSeparator" w:id="0">
    <w:p w:rsidR="00D168CE" w:rsidRDefault="00D168CE">
      <w:r>
        <w:continuationSeparator/>
      </w:r>
    </w:p>
    <w:p w:rsidR="00D168CE" w:rsidRDefault="00D168CE"/>
    <w:p w:rsidR="00D168CE" w:rsidRDefault="00D16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A5" w:rsidRDefault="00E65787" w:rsidP="005E298D">
    <w:pPr>
      <w:pStyle w:val="Footer"/>
      <w:tabs>
        <w:tab w:val="right" w:pos="9639"/>
      </w:tabs>
      <w:ind w:right="-1"/>
    </w:pPr>
    <w:r>
      <w:t xml:space="preserve">June </w:t>
    </w:r>
    <w:r w:rsidR="006C6882">
      <w:t>2019</w:t>
    </w:r>
    <w:r w:rsidR="00864AA5">
      <w:tab/>
      <w:t xml:space="preserve">Page </w:t>
    </w:r>
    <w:r w:rsidR="00D55738">
      <w:fldChar w:fldCharType="begin"/>
    </w:r>
    <w:r w:rsidR="00C51A8C">
      <w:instrText xml:space="preserve"> PAGE  \* Arabic  \* MERGEFORMAT </w:instrText>
    </w:r>
    <w:r w:rsidR="00D55738">
      <w:fldChar w:fldCharType="separate"/>
    </w:r>
    <w:r w:rsidR="00697F34">
      <w:rPr>
        <w:noProof/>
      </w:rPr>
      <w:t>3</w:t>
    </w:r>
    <w:r w:rsidR="00D55738">
      <w:rPr>
        <w:noProof/>
      </w:rPr>
      <w:fldChar w:fldCharType="end"/>
    </w:r>
    <w:r w:rsidR="00864AA5">
      <w:t xml:space="preserve"> of </w:t>
    </w:r>
    <w:r w:rsidR="00866AAD">
      <w:rPr>
        <w:noProof/>
      </w:rPr>
      <w:fldChar w:fldCharType="begin"/>
    </w:r>
    <w:r w:rsidR="00866AAD">
      <w:rPr>
        <w:noProof/>
      </w:rPr>
      <w:instrText xml:space="preserve"> NUMPAGES   \* MERGEFORMAT </w:instrText>
    </w:r>
    <w:r w:rsidR="00866AAD">
      <w:rPr>
        <w:noProof/>
      </w:rPr>
      <w:fldChar w:fldCharType="separate"/>
    </w:r>
    <w:r w:rsidR="00697F34">
      <w:rPr>
        <w:noProof/>
      </w:rPr>
      <w:t>3</w:t>
    </w:r>
    <w:r w:rsidR="00866AA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864AA5" w:rsidRDefault="00D168CE">
        <w:pPr>
          <w:pStyle w:val="Footer"/>
          <w:jc w:val="right"/>
        </w:pPr>
      </w:p>
    </w:sdtContent>
  </w:sdt>
  <w:p w:rsidR="00864AA5" w:rsidRPr="002B063A" w:rsidRDefault="00864AA5" w:rsidP="00F80690">
    <w:pPr>
      <w:pStyle w:val="Footer"/>
      <w:tabs>
        <w:tab w:val="right" w:pos="9639"/>
      </w:tabs>
      <w:ind w:right="-1" w:firstLine="567"/>
      <w:rPr>
        <w:b/>
      </w:rPr>
    </w:pPr>
    <w:r>
      <w:rPr>
        <w:b/>
      </w:rPr>
      <w:t xml:space="preserve">                                                                   </w:t>
    </w:r>
  </w:p>
  <w:p w:rsidR="00864AA5" w:rsidRDefault="00864A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CE" w:rsidRDefault="00D168CE" w:rsidP="005E298D">
      <w:pPr>
        <w:pStyle w:val="Spacer"/>
      </w:pPr>
      <w:r>
        <w:separator/>
      </w:r>
    </w:p>
    <w:p w:rsidR="00D168CE" w:rsidRDefault="00D168CE" w:rsidP="005E298D">
      <w:pPr>
        <w:pStyle w:val="Spacer"/>
      </w:pPr>
    </w:p>
  </w:footnote>
  <w:footnote w:type="continuationSeparator" w:id="0">
    <w:p w:rsidR="00D168CE" w:rsidRDefault="00D168CE">
      <w:r>
        <w:continuationSeparator/>
      </w:r>
    </w:p>
    <w:p w:rsidR="00D168CE" w:rsidRDefault="00D168CE"/>
    <w:p w:rsidR="00D168CE" w:rsidRDefault="00D168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A5" w:rsidRPr="00952122" w:rsidRDefault="001E3954" w:rsidP="001E3954">
    <w:pPr>
      <w:pStyle w:val="Header"/>
      <w:spacing w:after="480"/>
      <w:jc w:val="right"/>
    </w:pPr>
    <w:r w:rsidRPr="00D921B1">
      <w:rPr>
        <w:noProof/>
        <w:color w:val="00B0F0"/>
        <w:sz w:val="44"/>
        <w:szCs w:val="44"/>
        <w:lang w:val="en-NZ" w:eastAsia="en-NZ"/>
      </w:rPr>
      <w:t xml:space="preserve"> </w:t>
    </w:r>
    <w:r w:rsidRPr="00D921B1">
      <w:rPr>
        <w:b/>
        <w:noProof/>
        <w:color w:val="00B0F0"/>
        <w:sz w:val="44"/>
        <w:szCs w:val="44"/>
        <w:lang w:val="en-NZ" w:eastAsia="en-NZ"/>
      </w:rPr>
      <w:t>Job Description</w:t>
    </w:r>
    <w:r w:rsidR="004A3CD2" w:rsidRPr="004A3CD2">
      <w:rPr>
        <w:noProof/>
        <w:lang w:val="en-NZ" w:eastAsia="en-NZ"/>
      </w:rPr>
      <w:drawing>
        <wp:anchor distT="0" distB="0" distL="114300" distR="114300" simplePos="0" relativeHeight="251657216" behindDoc="0" locked="0" layoutInCell="1" allowOverlap="1">
          <wp:simplePos x="0" y="0"/>
          <wp:positionH relativeFrom="page">
            <wp:posOffset>479794</wp:posOffset>
          </wp:positionH>
          <wp:positionV relativeFrom="page">
            <wp:posOffset>439479</wp:posOffset>
          </wp:positionV>
          <wp:extent cx="2575294" cy="382772"/>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A5" w:rsidRPr="00D921B1" w:rsidRDefault="00864AA5"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8240"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0FA02EA8"/>
    <w:multiLevelType w:val="hybridMultilevel"/>
    <w:tmpl w:val="40A4633E"/>
    <w:lvl w:ilvl="0" w:tplc="FFD40990">
      <w:start w:val="1"/>
      <w:numFmt w:val="bullet"/>
      <w:lvlText w:val=""/>
      <w:lvlJc w:val="left"/>
      <w:pPr>
        <w:ind w:left="720" w:hanging="360"/>
      </w:pPr>
      <w:rPr>
        <w:rFonts w:ascii="Symbol" w:hAnsi="Symbol" w:hint="default"/>
      </w:rPr>
    </w:lvl>
    <w:lvl w:ilvl="1" w:tplc="1996E3F8" w:tentative="1">
      <w:start w:val="1"/>
      <w:numFmt w:val="bullet"/>
      <w:lvlText w:val="o"/>
      <w:lvlJc w:val="left"/>
      <w:pPr>
        <w:ind w:left="1440" w:hanging="360"/>
      </w:pPr>
      <w:rPr>
        <w:rFonts w:ascii="Courier New" w:hAnsi="Courier New" w:cs="Courier New" w:hint="default"/>
      </w:rPr>
    </w:lvl>
    <w:lvl w:ilvl="2" w:tplc="31FE620C" w:tentative="1">
      <w:start w:val="1"/>
      <w:numFmt w:val="bullet"/>
      <w:lvlText w:val=""/>
      <w:lvlJc w:val="left"/>
      <w:pPr>
        <w:ind w:left="2160" w:hanging="360"/>
      </w:pPr>
      <w:rPr>
        <w:rFonts w:ascii="Wingdings" w:hAnsi="Wingdings" w:hint="default"/>
      </w:rPr>
    </w:lvl>
    <w:lvl w:ilvl="3" w:tplc="C8A052B2" w:tentative="1">
      <w:start w:val="1"/>
      <w:numFmt w:val="bullet"/>
      <w:lvlText w:val=""/>
      <w:lvlJc w:val="left"/>
      <w:pPr>
        <w:ind w:left="2880" w:hanging="360"/>
      </w:pPr>
      <w:rPr>
        <w:rFonts w:ascii="Symbol" w:hAnsi="Symbol" w:hint="default"/>
      </w:rPr>
    </w:lvl>
    <w:lvl w:ilvl="4" w:tplc="0764D9EE" w:tentative="1">
      <w:start w:val="1"/>
      <w:numFmt w:val="bullet"/>
      <w:lvlText w:val="o"/>
      <w:lvlJc w:val="left"/>
      <w:pPr>
        <w:ind w:left="3600" w:hanging="360"/>
      </w:pPr>
      <w:rPr>
        <w:rFonts w:ascii="Courier New" w:hAnsi="Courier New" w:cs="Courier New" w:hint="default"/>
      </w:rPr>
    </w:lvl>
    <w:lvl w:ilvl="5" w:tplc="2C8C66E6" w:tentative="1">
      <w:start w:val="1"/>
      <w:numFmt w:val="bullet"/>
      <w:lvlText w:val=""/>
      <w:lvlJc w:val="left"/>
      <w:pPr>
        <w:ind w:left="4320" w:hanging="360"/>
      </w:pPr>
      <w:rPr>
        <w:rFonts w:ascii="Wingdings" w:hAnsi="Wingdings" w:hint="default"/>
      </w:rPr>
    </w:lvl>
    <w:lvl w:ilvl="6" w:tplc="1D88417A" w:tentative="1">
      <w:start w:val="1"/>
      <w:numFmt w:val="bullet"/>
      <w:lvlText w:val=""/>
      <w:lvlJc w:val="left"/>
      <w:pPr>
        <w:ind w:left="5040" w:hanging="360"/>
      </w:pPr>
      <w:rPr>
        <w:rFonts w:ascii="Symbol" w:hAnsi="Symbol" w:hint="default"/>
      </w:rPr>
    </w:lvl>
    <w:lvl w:ilvl="7" w:tplc="798A0312" w:tentative="1">
      <w:start w:val="1"/>
      <w:numFmt w:val="bullet"/>
      <w:lvlText w:val="o"/>
      <w:lvlJc w:val="left"/>
      <w:pPr>
        <w:ind w:left="5760" w:hanging="360"/>
      </w:pPr>
      <w:rPr>
        <w:rFonts w:ascii="Courier New" w:hAnsi="Courier New" w:cs="Courier New" w:hint="default"/>
      </w:rPr>
    </w:lvl>
    <w:lvl w:ilvl="8" w:tplc="4AE81338" w:tentative="1">
      <w:start w:val="1"/>
      <w:numFmt w:val="bullet"/>
      <w:lvlText w:val=""/>
      <w:lvlJc w:val="left"/>
      <w:pPr>
        <w:ind w:left="6480" w:hanging="360"/>
      </w:pPr>
      <w:rPr>
        <w:rFonts w:ascii="Wingdings" w:hAnsi="Wingdings" w:hint="default"/>
      </w:rPr>
    </w:lvl>
  </w:abstractNum>
  <w:abstractNum w:abstractNumId="10" w15:restartNumberingAfterBreak="0">
    <w:nsid w:val="189C51FC"/>
    <w:multiLevelType w:val="hybridMultilevel"/>
    <w:tmpl w:val="F866E50E"/>
    <w:lvl w:ilvl="0" w:tplc="0B9A7608">
      <w:start w:val="1"/>
      <w:numFmt w:val="bullet"/>
      <w:lvlText w:val=""/>
      <w:lvlJc w:val="left"/>
      <w:pPr>
        <w:ind w:left="720" w:hanging="360"/>
      </w:pPr>
      <w:rPr>
        <w:rFonts w:ascii="Symbol" w:hAnsi="Symbol" w:hint="default"/>
      </w:rPr>
    </w:lvl>
    <w:lvl w:ilvl="1" w:tplc="7DCA4F74" w:tentative="1">
      <w:start w:val="1"/>
      <w:numFmt w:val="bullet"/>
      <w:lvlText w:val="o"/>
      <w:lvlJc w:val="left"/>
      <w:pPr>
        <w:ind w:left="1440" w:hanging="360"/>
      </w:pPr>
      <w:rPr>
        <w:rFonts w:ascii="Courier New" w:hAnsi="Courier New" w:cs="Courier New" w:hint="default"/>
      </w:rPr>
    </w:lvl>
    <w:lvl w:ilvl="2" w:tplc="744E3954" w:tentative="1">
      <w:start w:val="1"/>
      <w:numFmt w:val="bullet"/>
      <w:lvlText w:val=""/>
      <w:lvlJc w:val="left"/>
      <w:pPr>
        <w:ind w:left="2160" w:hanging="360"/>
      </w:pPr>
      <w:rPr>
        <w:rFonts w:ascii="Wingdings" w:hAnsi="Wingdings" w:hint="default"/>
      </w:rPr>
    </w:lvl>
    <w:lvl w:ilvl="3" w:tplc="AFC48096" w:tentative="1">
      <w:start w:val="1"/>
      <w:numFmt w:val="bullet"/>
      <w:lvlText w:val=""/>
      <w:lvlJc w:val="left"/>
      <w:pPr>
        <w:ind w:left="2880" w:hanging="360"/>
      </w:pPr>
      <w:rPr>
        <w:rFonts w:ascii="Symbol" w:hAnsi="Symbol" w:hint="default"/>
      </w:rPr>
    </w:lvl>
    <w:lvl w:ilvl="4" w:tplc="6DC6DA1C" w:tentative="1">
      <w:start w:val="1"/>
      <w:numFmt w:val="bullet"/>
      <w:lvlText w:val="o"/>
      <w:lvlJc w:val="left"/>
      <w:pPr>
        <w:ind w:left="3600" w:hanging="360"/>
      </w:pPr>
      <w:rPr>
        <w:rFonts w:ascii="Courier New" w:hAnsi="Courier New" w:cs="Courier New" w:hint="default"/>
      </w:rPr>
    </w:lvl>
    <w:lvl w:ilvl="5" w:tplc="1374CDC8" w:tentative="1">
      <w:start w:val="1"/>
      <w:numFmt w:val="bullet"/>
      <w:lvlText w:val=""/>
      <w:lvlJc w:val="left"/>
      <w:pPr>
        <w:ind w:left="4320" w:hanging="360"/>
      </w:pPr>
      <w:rPr>
        <w:rFonts w:ascii="Wingdings" w:hAnsi="Wingdings" w:hint="default"/>
      </w:rPr>
    </w:lvl>
    <w:lvl w:ilvl="6" w:tplc="F8F0AD4A" w:tentative="1">
      <w:start w:val="1"/>
      <w:numFmt w:val="bullet"/>
      <w:lvlText w:val=""/>
      <w:lvlJc w:val="left"/>
      <w:pPr>
        <w:ind w:left="5040" w:hanging="360"/>
      </w:pPr>
      <w:rPr>
        <w:rFonts w:ascii="Symbol" w:hAnsi="Symbol" w:hint="default"/>
      </w:rPr>
    </w:lvl>
    <w:lvl w:ilvl="7" w:tplc="78E8E2C8" w:tentative="1">
      <w:start w:val="1"/>
      <w:numFmt w:val="bullet"/>
      <w:lvlText w:val="o"/>
      <w:lvlJc w:val="left"/>
      <w:pPr>
        <w:ind w:left="5760" w:hanging="360"/>
      </w:pPr>
      <w:rPr>
        <w:rFonts w:ascii="Courier New" w:hAnsi="Courier New" w:cs="Courier New" w:hint="default"/>
      </w:rPr>
    </w:lvl>
    <w:lvl w:ilvl="8" w:tplc="AF8C0D6E"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27935BAE"/>
    <w:multiLevelType w:val="hybridMultilevel"/>
    <w:tmpl w:val="FBF698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2D23C3"/>
    <w:multiLevelType w:val="hybridMultilevel"/>
    <w:tmpl w:val="69A8B90A"/>
    <w:lvl w:ilvl="0" w:tplc="43683AE0">
      <w:start w:val="1"/>
      <w:numFmt w:val="bullet"/>
      <w:lvlText w:val=""/>
      <w:lvlJc w:val="left"/>
      <w:pPr>
        <w:ind w:left="720" w:hanging="360"/>
      </w:pPr>
      <w:rPr>
        <w:rFonts w:ascii="Symbol" w:hAnsi="Symbol" w:hint="default"/>
      </w:rPr>
    </w:lvl>
    <w:lvl w:ilvl="1" w:tplc="05EA44BA" w:tentative="1">
      <w:start w:val="1"/>
      <w:numFmt w:val="bullet"/>
      <w:lvlText w:val="o"/>
      <w:lvlJc w:val="left"/>
      <w:pPr>
        <w:ind w:left="1440" w:hanging="360"/>
      </w:pPr>
      <w:rPr>
        <w:rFonts w:ascii="Courier New" w:hAnsi="Courier New" w:cs="Courier New" w:hint="default"/>
      </w:rPr>
    </w:lvl>
    <w:lvl w:ilvl="2" w:tplc="DE9801E8" w:tentative="1">
      <w:start w:val="1"/>
      <w:numFmt w:val="bullet"/>
      <w:lvlText w:val=""/>
      <w:lvlJc w:val="left"/>
      <w:pPr>
        <w:ind w:left="2160" w:hanging="360"/>
      </w:pPr>
      <w:rPr>
        <w:rFonts w:ascii="Wingdings" w:hAnsi="Wingdings" w:hint="default"/>
      </w:rPr>
    </w:lvl>
    <w:lvl w:ilvl="3" w:tplc="695ECDF4" w:tentative="1">
      <w:start w:val="1"/>
      <w:numFmt w:val="bullet"/>
      <w:lvlText w:val=""/>
      <w:lvlJc w:val="left"/>
      <w:pPr>
        <w:ind w:left="2880" w:hanging="360"/>
      </w:pPr>
      <w:rPr>
        <w:rFonts w:ascii="Symbol" w:hAnsi="Symbol" w:hint="default"/>
      </w:rPr>
    </w:lvl>
    <w:lvl w:ilvl="4" w:tplc="C8C48D14" w:tentative="1">
      <w:start w:val="1"/>
      <w:numFmt w:val="bullet"/>
      <w:lvlText w:val="o"/>
      <w:lvlJc w:val="left"/>
      <w:pPr>
        <w:ind w:left="3600" w:hanging="360"/>
      </w:pPr>
      <w:rPr>
        <w:rFonts w:ascii="Courier New" w:hAnsi="Courier New" w:cs="Courier New" w:hint="default"/>
      </w:rPr>
    </w:lvl>
    <w:lvl w:ilvl="5" w:tplc="C6842E8C" w:tentative="1">
      <w:start w:val="1"/>
      <w:numFmt w:val="bullet"/>
      <w:lvlText w:val=""/>
      <w:lvlJc w:val="left"/>
      <w:pPr>
        <w:ind w:left="4320" w:hanging="360"/>
      </w:pPr>
      <w:rPr>
        <w:rFonts w:ascii="Wingdings" w:hAnsi="Wingdings" w:hint="default"/>
      </w:rPr>
    </w:lvl>
    <w:lvl w:ilvl="6" w:tplc="F736761E" w:tentative="1">
      <w:start w:val="1"/>
      <w:numFmt w:val="bullet"/>
      <w:lvlText w:val=""/>
      <w:lvlJc w:val="left"/>
      <w:pPr>
        <w:ind w:left="5040" w:hanging="360"/>
      </w:pPr>
      <w:rPr>
        <w:rFonts w:ascii="Symbol" w:hAnsi="Symbol" w:hint="default"/>
      </w:rPr>
    </w:lvl>
    <w:lvl w:ilvl="7" w:tplc="F926AF90" w:tentative="1">
      <w:start w:val="1"/>
      <w:numFmt w:val="bullet"/>
      <w:lvlText w:val="o"/>
      <w:lvlJc w:val="left"/>
      <w:pPr>
        <w:ind w:left="5760" w:hanging="360"/>
      </w:pPr>
      <w:rPr>
        <w:rFonts w:ascii="Courier New" w:hAnsi="Courier New" w:cs="Courier New" w:hint="default"/>
      </w:rPr>
    </w:lvl>
    <w:lvl w:ilvl="8" w:tplc="C61A4AFC" w:tentative="1">
      <w:start w:val="1"/>
      <w:numFmt w:val="bullet"/>
      <w:lvlText w:val=""/>
      <w:lvlJc w:val="left"/>
      <w:pPr>
        <w:ind w:left="6480" w:hanging="360"/>
      </w:pPr>
      <w:rPr>
        <w:rFonts w:ascii="Wingdings" w:hAnsi="Wingdings" w:hint="default"/>
      </w:rPr>
    </w:lvl>
  </w:abstractNum>
  <w:abstractNum w:abstractNumId="18" w15:restartNumberingAfterBreak="0">
    <w:nsid w:val="4CA5298F"/>
    <w:multiLevelType w:val="hybridMultilevel"/>
    <w:tmpl w:val="ADFC254C"/>
    <w:lvl w:ilvl="0" w:tplc="0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DE42B5"/>
    <w:multiLevelType w:val="hybridMultilevel"/>
    <w:tmpl w:val="8A48896A"/>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42C1F64"/>
    <w:multiLevelType w:val="hybridMultilevel"/>
    <w:tmpl w:val="EA52C8A2"/>
    <w:lvl w:ilvl="0" w:tplc="14090001">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E4577A7"/>
    <w:multiLevelType w:val="hybridMultilevel"/>
    <w:tmpl w:val="3AF67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A013B9"/>
    <w:multiLevelType w:val="hybridMultilevel"/>
    <w:tmpl w:val="BAD88218"/>
    <w:lvl w:ilvl="0" w:tplc="151ACB6E">
      <w:start w:val="1"/>
      <w:numFmt w:val="bullet"/>
      <w:lvlText w:val=""/>
      <w:lvlJc w:val="left"/>
      <w:pPr>
        <w:ind w:left="798" w:hanging="360"/>
      </w:pPr>
      <w:rPr>
        <w:rFonts w:ascii="Symbol" w:hAnsi="Symbol" w:hint="default"/>
      </w:rPr>
    </w:lvl>
    <w:lvl w:ilvl="1" w:tplc="C5A6029E" w:tentative="1">
      <w:start w:val="1"/>
      <w:numFmt w:val="bullet"/>
      <w:lvlText w:val="o"/>
      <w:lvlJc w:val="left"/>
      <w:pPr>
        <w:ind w:left="1518" w:hanging="360"/>
      </w:pPr>
      <w:rPr>
        <w:rFonts w:ascii="Courier New" w:hAnsi="Courier New" w:cs="Courier New" w:hint="default"/>
      </w:rPr>
    </w:lvl>
    <w:lvl w:ilvl="2" w:tplc="B72CAC0A" w:tentative="1">
      <w:start w:val="1"/>
      <w:numFmt w:val="bullet"/>
      <w:lvlText w:val=""/>
      <w:lvlJc w:val="left"/>
      <w:pPr>
        <w:ind w:left="2238" w:hanging="360"/>
      </w:pPr>
      <w:rPr>
        <w:rFonts w:ascii="Wingdings" w:hAnsi="Wingdings" w:hint="default"/>
      </w:rPr>
    </w:lvl>
    <w:lvl w:ilvl="3" w:tplc="AFA278F4" w:tentative="1">
      <w:start w:val="1"/>
      <w:numFmt w:val="bullet"/>
      <w:lvlText w:val=""/>
      <w:lvlJc w:val="left"/>
      <w:pPr>
        <w:ind w:left="2958" w:hanging="360"/>
      </w:pPr>
      <w:rPr>
        <w:rFonts w:ascii="Symbol" w:hAnsi="Symbol" w:hint="default"/>
      </w:rPr>
    </w:lvl>
    <w:lvl w:ilvl="4" w:tplc="C540AF44" w:tentative="1">
      <w:start w:val="1"/>
      <w:numFmt w:val="bullet"/>
      <w:lvlText w:val="o"/>
      <w:lvlJc w:val="left"/>
      <w:pPr>
        <w:ind w:left="3678" w:hanging="360"/>
      </w:pPr>
      <w:rPr>
        <w:rFonts w:ascii="Courier New" w:hAnsi="Courier New" w:cs="Courier New" w:hint="default"/>
      </w:rPr>
    </w:lvl>
    <w:lvl w:ilvl="5" w:tplc="5A503FF2" w:tentative="1">
      <w:start w:val="1"/>
      <w:numFmt w:val="bullet"/>
      <w:lvlText w:val=""/>
      <w:lvlJc w:val="left"/>
      <w:pPr>
        <w:ind w:left="4398" w:hanging="360"/>
      </w:pPr>
      <w:rPr>
        <w:rFonts w:ascii="Wingdings" w:hAnsi="Wingdings" w:hint="default"/>
      </w:rPr>
    </w:lvl>
    <w:lvl w:ilvl="6" w:tplc="77E860E8" w:tentative="1">
      <w:start w:val="1"/>
      <w:numFmt w:val="bullet"/>
      <w:lvlText w:val=""/>
      <w:lvlJc w:val="left"/>
      <w:pPr>
        <w:ind w:left="5118" w:hanging="360"/>
      </w:pPr>
      <w:rPr>
        <w:rFonts w:ascii="Symbol" w:hAnsi="Symbol" w:hint="default"/>
      </w:rPr>
    </w:lvl>
    <w:lvl w:ilvl="7" w:tplc="0158F070" w:tentative="1">
      <w:start w:val="1"/>
      <w:numFmt w:val="bullet"/>
      <w:lvlText w:val="o"/>
      <w:lvlJc w:val="left"/>
      <w:pPr>
        <w:ind w:left="5838" w:hanging="360"/>
      </w:pPr>
      <w:rPr>
        <w:rFonts w:ascii="Courier New" w:hAnsi="Courier New" w:cs="Courier New" w:hint="default"/>
      </w:rPr>
    </w:lvl>
    <w:lvl w:ilvl="8" w:tplc="A5F8AD68" w:tentative="1">
      <w:start w:val="1"/>
      <w:numFmt w:val="bullet"/>
      <w:lvlText w:val=""/>
      <w:lvlJc w:val="left"/>
      <w:pPr>
        <w:ind w:left="6558"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5"/>
  </w:num>
  <w:num w:numId="10">
    <w:abstractNumId w:val="11"/>
  </w:num>
  <w:num w:numId="11">
    <w:abstractNumId w:val="23"/>
  </w:num>
  <w:num w:numId="12">
    <w:abstractNumId w:val="24"/>
  </w:num>
  <w:num w:numId="13">
    <w:abstractNumId w:val="25"/>
  </w:num>
  <w:num w:numId="14">
    <w:abstractNumId w:val="7"/>
  </w:num>
  <w:num w:numId="15">
    <w:abstractNumId w:val="13"/>
  </w:num>
  <w:num w:numId="16">
    <w:abstractNumId w:val="27"/>
  </w:num>
  <w:num w:numId="17">
    <w:abstractNumId w:val="16"/>
  </w:num>
  <w:num w:numId="18">
    <w:abstractNumId w:val="14"/>
  </w:num>
  <w:num w:numId="19">
    <w:abstractNumId w:val="8"/>
  </w:num>
  <w:num w:numId="20">
    <w:abstractNumId w:val="6"/>
  </w:num>
  <w:num w:numId="21">
    <w:abstractNumId w:val="20"/>
  </w:num>
  <w:num w:numId="22">
    <w:abstractNumId w:val="26"/>
  </w:num>
  <w:num w:numId="23">
    <w:abstractNumId w:val="17"/>
  </w:num>
  <w:num w:numId="24">
    <w:abstractNumId w:val="29"/>
  </w:num>
  <w:num w:numId="25">
    <w:abstractNumId w:val="9"/>
  </w:num>
  <w:num w:numId="26">
    <w:abstractNumId w:val="12"/>
  </w:num>
  <w:num w:numId="27">
    <w:abstractNumId w:val="18"/>
  </w:num>
  <w:num w:numId="28">
    <w:abstractNumId w:val="19"/>
  </w:num>
  <w:num w:numId="29">
    <w:abstractNumId w:val="10"/>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1501"/>
    <w:rsid w:val="0004176D"/>
    <w:rsid w:val="0004252D"/>
    <w:rsid w:val="000470E2"/>
    <w:rsid w:val="000650F1"/>
    <w:rsid w:val="000826A3"/>
    <w:rsid w:val="00084611"/>
    <w:rsid w:val="00086B46"/>
    <w:rsid w:val="000A6725"/>
    <w:rsid w:val="000C4D35"/>
    <w:rsid w:val="000C54D7"/>
    <w:rsid w:val="000D37C8"/>
    <w:rsid w:val="000F1BB0"/>
    <w:rsid w:val="000F2068"/>
    <w:rsid w:val="000F4787"/>
    <w:rsid w:val="00101F78"/>
    <w:rsid w:val="0011384B"/>
    <w:rsid w:val="00114C3C"/>
    <w:rsid w:val="00131564"/>
    <w:rsid w:val="00141289"/>
    <w:rsid w:val="00145350"/>
    <w:rsid w:val="0016618A"/>
    <w:rsid w:val="001706F8"/>
    <w:rsid w:val="00176E1C"/>
    <w:rsid w:val="00180C2F"/>
    <w:rsid w:val="001A40D9"/>
    <w:rsid w:val="001B707A"/>
    <w:rsid w:val="001D043D"/>
    <w:rsid w:val="001E3954"/>
    <w:rsid w:val="001E640D"/>
    <w:rsid w:val="001F3C04"/>
    <w:rsid w:val="001F521F"/>
    <w:rsid w:val="00206EFC"/>
    <w:rsid w:val="002455C4"/>
    <w:rsid w:val="002511B7"/>
    <w:rsid w:val="0028266A"/>
    <w:rsid w:val="00297B90"/>
    <w:rsid w:val="002B063A"/>
    <w:rsid w:val="002C0CD2"/>
    <w:rsid w:val="002D5072"/>
    <w:rsid w:val="002F5930"/>
    <w:rsid w:val="002F602A"/>
    <w:rsid w:val="00307B43"/>
    <w:rsid w:val="00317F1A"/>
    <w:rsid w:val="00323978"/>
    <w:rsid w:val="003242B5"/>
    <w:rsid w:val="00341288"/>
    <w:rsid w:val="00357268"/>
    <w:rsid w:val="0036283D"/>
    <w:rsid w:val="003719E6"/>
    <w:rsid w:val="00376839"/>
    <w:rsid w:val="00381969"/>
    <w:rsid w:val="003B4025"/>
    <w:rsid w:val="003C1C56"/>
    <w:rsid w:val="003E0A24"/>
    <w:rsid w:val="003F1A69"/>
    <w:rsid w:val="00405140"/>
    <w:rsid w:val="004053D1"/>
    <w:rsid w:val="00411FEE"/>
    <w:rsid w:val="00422713"/>
    <w:rsid w:val="00431E83"/>
    <w:rsid w:val="00442F06"/>
    <w:rsid w:val="0046529F"/>
    <w:rsid w:val="00486AE5"/>
    <w:rsid w:val="004945BA"/>
    <w:rsid w:val="004A3CD2"/>
    <w:rsid w:val="004A7692"/>
    <w:rsid w:val="004B7F82"/>
    <w:rsid w:val="004C06B0"/>
    <w:rsid w:val="004C34C7"/>
    <w:rsid w:val="004F03AB"/>
    <w:rsid w:val="00507D24"/>
    <w:rsid w:val="00523A28"/>
    <w:rsid w:val="00526BBB"/>
    <w:rsid w:val="00543100"/>
    <w:rsid w:val="005B54AE"/>
    <w:rsid w:val="005C7EF0"/>
    <w:rsid w:val="005D5FB2"/>
    <w:rsid w:val="005E298D"/>
    <w:rsid w:val="00606687"/>
    <w:rsid w:val="00614724"/>
    <w:rsid w:val="00634FD9"/>
    <w:rsid w:val="006407A7"/>
    <w:rsid w:val="00645675"/>
    <w:rsid w:val="00660ECE"/>
    <w:rsid w:val="00666A8D"/>
    <w:rsid w:val="00683E17"/>
    <w:rsid w:val="00692AF9"/>
    <w:rsid w:val="00692C51"/>
    <w:rsid w:val="00695513"/>
    <w:rsid w:val="00697F34"/>
    <w:rsid w:val="006B0BD4"/>
    <w:rsid w:val="006C6882"/>
    <w:rsid w:val="006D0AA1"/>
    <w:rsid w:val="006E1C61"/>
    <w:rsid w:val="006E2B46"/>
    <w:rsid w:val="006F4B43"/>
    <w:rsid w:val="00701EC8"/>
    <w:rsid w:val="00717284"/>
    <w:rsid w:val="0076329A"/>
    <w:rsid w:val="0079274B"/>
    <w:rsid w:val="007C04F2"/>
    <w:rsid w:val="007C13BF"/>
    <w:rsid w:val="007C5804"/>
    <w:rsid w:val="007D6555"/>
    <w:rsid w:val="007E2DF2"/>
    <w:rsid w:val="00820DBB"/>
    <w:rsid w:val="0082578C"/>
    <w:rsid w:val="00864AA5"/>
    <w:rsid w:val="00866AAD"/>
    <w:rsid w:val="00876116"/>
    <w:rsid w:val="00881891"/>
    <w:rsid w:val="00897F7A"/>
    <w:rsid w:val="008A0E22"/>
    <w:rsid w:val="008B4CF6"/>
    <w:rsid w:val="008B6E70"/>
    <w:rsid w:val="008C1931"/>
    <w:rsid w:val="008D6586"/>
    <w:rsid w:val="008F4D70"/>
    <w:rsid w:val="00903331"/>
    <w:rsid w:val="0090753D"/>
    <w:rsid w:val="00917D34"/>
    <w:rsid w:val="00922BC4"/>
    <w:rsid w:val="00950EA6"/>
    <w:rsid w:val="0096349B"/>
    <w:rsid w:val="00965942"/>
    <w:rsid w:val="00972CC4"/>
    <w:rsid w:val="00980FC9"/>
    <w:rsid w:val="00984C82"/>
    <w:rsid w:val="009B3CE5"/>
    <w:rsid w:val="009B7942"/>
    <w:rsid w:val="009E3EA3"/>
    <w:rsid w:val="009E5FEE"/>
    <w:rsid w:val="00A06C92"/>
    <w:rsid w:val="00A13C89"/>
    <w:rsid w:val="00A17749"/>
    <w:rsid w:val="00A35EF0"/>
    <w:rsid w:val="00A5112F"/>
    <w:rsid w:val="00A530BD"/>
    <w:rsid w:val="00A9421A"/>
    <w:rsid w:val="00AA59C6"/>
    <w:rsid w:val="00AB19BD"/>
    <w:rsid w:val="00AB3963"/>
    <w:rsid w:val="00AB69DF"/>
    <w:rsid w:val="00AC0FD0"/>
    <w:rsid w:val="00AC7F9D"/>
    <w:rsid w:val="00AD5B2A"/>
    <w:rsid w:val="00AF4E3F"/>
    <w:rsid w:val="00B20E76"/>
    <w:rsid w:val="00B27115"/>
    <w:rsid w:val="00B4148C"/>
    <w:rsid w:val="00B540C1"/>
    <w:rsid w:val="00B950EE"/>
    <w:rsid w:val="00BA00D0"/>
    <w:rsid w:val="00BB0C0F"/>
    <w:rsid w:val="00BB6C29"/>
    <w:rsid w:val="00BC6D8C"/>
    <w:rsid w:val="00BD0C1F"/>
    <w:rsid w:val="00BD4008"/>
    <w:rsid w:val="00BD432C"/>
    <w:rsid w:val="00BD6536"/>
    <w:rsid w:val="00BF010E"/>
    <w:rsid w:val="00BF795E"/>
    <w:rsid w:val="00C113DA"/>
    <w:rsid w:val="00C228A2"/>
    <w:rsid w:val="00C241E4"/>
    <w:rsid w:val="00C26EFE"/>
    <w:rsid w:val="00C338A0"/>
    <w:rsid w:val="00C51A8C"/>
    <w:rsid w:val="00C5268E"/>
    <w:rsid w:val="00C56FFA"/>
    <w:rsid w:val="00C74799"/>
    <w:rsid w:val="00C76647"/>
    <w:rsid w:val="00C85D31"/>
    <w:rsid w:val="00C91353"/>
    <w:rsid w:val="00CB3730"/>
    <w:rsid w:val="00CC20D0"/>
    <w:rsid w:val="00CF541D"/>
    <w:rsid w:val="00CF614C"/>
    <w:rsid w:val="00D168CE"/>
    <w:rsid w:val="00D265E9"/>
    <w:rsid w:val="00D55738"/>
    <w:rsid w:val="00D6381A"/>
    <w:rsid w:val="00D86BB3"/>
    <w:rsid w:val="00D921B1"/>
    <w:rsid w:val="00DA5E85"/>
    <w:rsid w:val="00DC5CD4"/>
    <w:rsid w:val="00DE0A54"/>
    <w:rsid w:val="00DE6031"/>
    <w:rsid w:val="00E17826"/>
    <w:rsid w:val="00E25227"/>
    <w:rsid w:val="00E43DA8"/>
    <w:rsid w:val="00E65787"/>
    <w:rsid w:val="00EB59F7"/>
    <w:rsid w:val="00EC4723"/>
    <w:rsid w:val="00EC79B9"/>
    <w:rsid w:val="00ED224E"/>
    <w:rsid w:val="00F07CB6"/>
    <w:rsid w:val="00F1211B"/>
    <w:rsid w:val="00F26C5D"/>
    <w:rsid w:val="00F5051E"/>
    <w:rsid w:val="00F6391F"/>
    <w:rsid w:val="00F67471"/>
    <w:rsid w:val="00F67E04"/>
    <w:rsid w:val="00F70E44"/>
    <w:rsid w:val="00F80690"/>
    <w:rsid w:val="00FA3E00"/>
    <w:rsid w:val="00FA67F4"/>
    <w:rsid w:val="00FC0C37"/>
    <w:rsid w:val="00FC3F98"/>
    <w:rsid w:val="00FD6C88"/>
    <w:rsid w:val="00FE46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E7C8"/>
  <w15:docId w15:val="{8B0B8474-6FC4-4FD4-B779-466B8B60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lang w:val="en-AU"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Adviser,19/10/2017;702,Suzanne Williams,Manager, Human Resources,10/11/2017;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10/11/2017 10:56:00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 xsi:nil="true"/>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245098</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10/11/2017 11:07:42 a.m.</Original_x0020_Created>
    <Related_x0020_Record_x0020_Links xmlns="9839ff3a-355b-4117-b331-4f99f36137b4" xsi:nil="true"/>
    <Document_Type xmlns="1632685A-F173-4044-A688-A6BDC57C858F">Employment Related</Document_Type>
    <Original_x0020_Modified xmlns="1632685A-F173-4044-A688-A6BDC57C858F">10/11/2017 11:07:42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Adviser,19/10/2017;641,Holly Nepia,Receptionist,31/10/2017;702,Suzanne Williams,Manager, Human Resources,10/11/2017;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7C66-E134-4740-9F6B-69EB0656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62635-0439-4D6F-951A-CF11AC330E1B}">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3CA4367D-D5DD-4A6F-A943-2E3E09A6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BIP Adviser - Role Description - November 2017</vt:lpstr>
    </vt:vector>
  </TitlesOfParts>
  <Company>Department of Internal Affairs</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Adviser - Role Description - November 2017</dc:title>
  <dc:creator>Amie Keating</dc:creator>
  <cp:keywords>246238</cp:keywords>
  <cp:lastModifiedBy>Holly Nepia</cp:lastModifiedBy>
  <cp:revision>2</cp:revision>
  <cp:lastPrinted>2019-05-15T01:37:00Z</cp:lastPrinted>
  <dcterms:created xsi:type="dcterms:W3CDTF">2019-07-10T23:52:00Z</dcterms:created>
  <dcterms:modified xsi:type="dcterms:W3CDTF">2019-07-10T23:52:00Z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0x0101008EE97655591A421D982C8CBBCA2B2410AB00C710B96DC9AE984B8327643291467F79</vt:lpwstr>
  </property>
</Properties>
</file>